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2E237" w14:textId="77777777" w:rsidR="00312248" w:rsidRDefault="00312248" w:rsidP="0006212B">
      <w:pPr>
        <w:spacing w:after="120"/>
        <w:ind w:firstLine="0"/>
        <w:contextualSpacing w:val="0"/>
        <w:jc w:val="center"/>
        <w:rPr>
          <w:b/>
          <w:bCs/>
        </w:rPr>
      </w:pPr>
      <w:r>
        <w:rPr>
          <w:b/>
          <w:bCs/>
        </w:rPr>
        <w:t>Abstract</w:t>
      </w:r>
    </w:p>
    <w:p w14:paraId="63CAD926" w14:textId="1DB885B7" w:rsidR="00440C8B" w:rsidRDefault="00C54C3F" w:rsidP="0006212B">
      <w:pPr>
        <w:spacing w:after="120"/>
        <w:ind w:firstLine="0"/>
        <w:contextualSpacing w:val="0"/>
      </w:pPr>
      <w:r>
        <w:tab/>
      </w:r>
      <w:r w:rsidR="00386557">
        <w:t xml:space="preserve">Although </w:t>
      </w:r>
      <w:r w:rsidR="00AB495A">
        <w:t xml:space="preserve">underrepresented </w:t>
      </w:r>
      <w:r w:rsidRPr="00C54C3F">
        <w:t>populations</w:t>
      </w:r>
      <w:r w:rsidR="00F13F86">
        <w:t>’ cultures</w:t>
      </w:r>
      <w:r w:rsidR="00EC2ED7">
        <w:t xml:space="preserve"> differ </w:t>
      </w:r>
      <w:r w:rsidRPr="00C54C3F">
        <w:t>from each other</w:t>
      </w:r>
      <w:r w:rsidR="00386557">
        <w:t xml:space="preserve">, </w:t>
      </w:r>
      <w:r w:rsidR="00386557" w:rsidRPr="00C54C3F">
        <w:t xml:space="preserve">these groups </w:t>
      </w:r>
      <w:r w:rsidR="00386557">
        <w:t>do</w:t>
      </w:r>
      <w:r w:rsidR="00386557" w:rsidRPr="00C54C3F">
        <w:t xml:space="preserve"> share some characteristics and concerns</w:t>
      </w:r>
      <w:r w:rsidR="00333798">
        <w:t xml:space="preserve"> about medical research</w:t>
      </w:r>
      <w:r w:rsidR="00445451">
        <w:t xml:space="preserve">, </w:t>
      </w:r>
      <w:r w:rsidR="006C37E2">
        <w:t xml:space="preserve">causing </w:t>
      </w:r>
      <w:r w:rsidR="00EE3ACF">
        <w:t>hesitancy and</w:t>
      </w:r>
      <w:r w:rsidR="00D5388E">
        <w:t xml:space="preserve"> </w:t>
      </w:r>
      <w:r w:rsidR="00445451">
        <w:t>low</w:t>
      </w:r>
      <w:r w:rsidR="00842049">
        <w:t xml:space="preserve"> clinical trial</w:t>
      </w:r>
      <w:r w:rsidR="00445451">
        <w:t xml:space="preserve"> participation</w:t>
      </w:r>
      <w:r w:rsidR="00842049">
        <w:t xml:space="preserve"> levels</w:t>
      </w:r>
      <w:r w:rsidR="005471BE">
        <w:t>.</w:t>
      </w:r>
      <w:r w:rsidR="00386557">
        <w:t xml:space="preserve"> </w:t>
      </w:r>
      <w:r w:rsidR="007C081F">
        <w:t>To better benefit the health</w:t>
      </w:r>
      <w:r w:rsidR="00AC46C5">
        <w:t xml:space="preserve"> of </w:t>
      </w:r>
      <w:r w:rsidR="00AB495A">
        <w:t>marginalized populations</w:t>
      </w:r>
      <w:r w:rsidR="007C081F">
        <w:t>,</w:t>
      </w:r>
      <w:r w:rsidR="00AB495A">
        <w:t xml:space="preserve"> </w:t>
      </w:r>
      <w:r w:rsidR="00EE3ACF">
        <w:t xml:space="preserve">it is important </w:t>
      </w:r>
      <w:r w:rsidR="000F3F92">
        <w:t xml:space="preserve">to </w:t>
      </w:r>
      <w:r w:rsidR="00856C5F">
        <w:t xml:space="preserve">apply health communication strategies to </w:t>
      </w:r>
      <w:r w:rsidR="000F3F92">
        <w:t>increase clinical trial participation levels</w:t>
      </w:r>
      <w:r w:rsidR="00856C5F">
        <w:t xml:space="preserve">. </w:t>
      </w:r>
      <w:r w:rsidR="0061212A">
        <w:t xml:space="preserve">This </w:t>
      </w:r>
      <w:r w:rsidR="001C5563">
        <w:t>entry</w:t>
      </w:r>
      <w:r w:rsidR="00856C5F">
        <w:t xml:space="preserve"> </w:t>
      </w:r>
      <w:r w:rsidR="00917C8F">
        <w:t xml:space="preserve">briefly describes </w:t>
      </w:r>
      <w:r w:rsidR="00BA5382">
        <w:t>some of the history, barriers</w:t>
      </w:r>
      <w:r w:rsidR="009A7FE3">
        <w:t xml:space="preserve"> to clinical trial participation</w:t>
      </w:r>
      <w:r w:rsidR="00BA5382">
        <w:t xml:space="preserve">, and particular </w:t>
      </w:r>
      <w:r w:rsidR="009A7FE3">
        <w:t xml:space="preserve">cultural </w:t>
      </w:r>
      <w:r w:rsidR="00BA5382">
        <w:t xml:space="preserve">concerns of </w:t>
      </w:r>
      <w:r w:rsidR="00271178">
        <w:t>numerous</w:t>
      </w:r>
      <w:r w:rsidR="00BA5382">
        <w:t xml:space="preserve"> underserved populations</w:t>
      </w:r>
      <w:r w:rsidR="00271178">
        <w:t>.</w:t>
      </w:r>
      <w:r w:rsidR="00A90DB9">
        <w:t xml:space="preserve"> </w:t>
      </w:r>
      <w:r w:rsidR="000B09D9">
        <w:t>It also</w:t>
      </w:r>
      <w:r w:rsidR="00A90DB9">
        <w:t xml:space="preserve"> </w:t>
      </w:r>
      <w:r w:rsidR="00337742">
        <w:t xml:space="preserve">suggests several health communication </w:t>
      </w:r>
      <w:r w:rsidR="00EC24B9">
        <w:t xml:space="preserve">research </w:t>
      </w:r>
      <w:r w:rsidR="00337742">
        <w:t>strategies</w:t>
      </w:r>
      <w:r w:rsidR="00E31292">
        <w:t xml:space="preserve"> </w:t>
      </w:r>
      <w:r w:rsidR="00165BB6" w:rsidRPr="00165BB6">
        <w:t xml:space="preserve">to respectfully address the </w:t>
      </w:r>
      <w:r w:rsidR="00165BB6">
        <w:t>valid cultural hesitancies</w:t>
      </w:r>
      <w:r w:rsidR="00165BB6" w:rsidRPr="00165BB6">
        <w:t xml:space="preserve"> of all underserved and underrepresented groups</w:t>
      </w:r>
      <w:r w:rsidR="003D1FA7">
        <w:t xml:space="preserve"> in </w:t>
      </w:r>
      <w:r w:rsidR="00165BB6" w:rsidRPr="00165BB6">
        <w:t>efforts to increase the</w:t>
      </w:r>
      <w:r w:rsidR="003D1FA7">
        <w:t>ir</w:t>
      </w:r>
      <w:r w:rsidR="00165BB6" w:rsidRPr="00165BB6">
        <w:t xml:space="preserve"> </w:t>
      </w:r>
      <w:r w:rsidR="003D1FA7">
        <w:t xml:space="preserve">willingness </w:t>
      </w:r>
      <w:r w:rsidR="00F13F86">
        <w:t xml:space="preserve">to take part in </w:t>
      </w:r>
      <w:r w:rsidR="003D1FA7">
        <w:t>clinical trial</w:t>
      </w:r>
      <w:r w:rsidR="00F13F86">
        <w:t>s.</w:t>
      </w:r>
    </w:p>
    <w:p w14:paraId="6AB8FEBF" w14:textId="0E29F6B1" w:rsidR="00440C8B" w:rsidRDefault="00440C8B" w:rsidP="0006212B">
      <w:pPr>
        <w:spacing w:after="120"/>
        <w:ind w:firstLine="0"/>
        <w:contextualSpacing w:val="0"/>
      </w:pPr>
      <w:r>
        <w:t xml:space="preserve">Keywords: </w:t>
      </w:r>
      <w:r w:rsidR="006B5758">
        <w:t xml:space="preserve">underserved populations, recruitment strategies, </w:t>
      </w:r>
      <w:r w:rsidR="00EC34F4">
        <w:t>cultural competence</w:t>
      </w:r>
      <w:r w:rsidR="000445D7">
        <w:t>, minority participation, racializ</w:t>
      </w:r>
      <w:r w:rsidR="008F47FB">
        <w:t>ed populations</w:t>
      </w:r>
    </w:p>
    <w:p w14:paraId="37301CCB" w14:textId="4CFD563C" w:rsidR="00C513A0" w:rsidRPr="00BD60F6" w:rsidRDefault="002561D5" w:rsidP="0006212B">
      <w:pPr>
        <w:spacing w:after="120"/>
        <w:ind w:firstLine="0"/>
        <w:contextualSpacing w:val="0"/>
        <w:jc w:val="center"/>
        <w:rPr>
          <w:b/>
          <w:bCs/>
        </w:rPr>
      </w:pPr>
      <w:r w:rsidRPr="00BD60F6">
        <w:rPr>
          <w:b/>
          <w:bCs/>
        </w:rPr>
        <w:t>Clinical Trial Recruitment: Underrepresented Groups</w:t>
      </w:r>
    </w:p>
    <w:p w14:paraId="7A1479AA" w14:textId="0EEB85F7" w:rsidR="00303928" w:rsidRDefault="00507A84" w:rsidP="0006212B">
      <w:pPr>
        <w:spacing w:after="120"/>
        <w:contextualSpacing w:val="0"/>
      </w:pPr>
      <w:r>
        <w:t>Across the globe, m</w:t>
      </w:r>
      <w:r w:rsidR="007755AE" w:rsidRPr="00D628F8">
        <w:t>arginalized populations</w:t>
      </w:r>
      <w:r w:rsidR="00716C7E" w:rsidRPr="00D628F8">
        <w:t xml:space="preserve"> </w:t>
      </w:r>
      <w:r w:rsidR="00D63D70" w:rsidRPr="00D628F8">
        <w:t xml:space="preserve">look, speak, care, believe, worship, and live differently from each other. However, these </w:t>
      </w:r>
      <w:r w:rsidR="00142BF1" w:rsidRPr="00D628F8">
        <w:t>groups</w:t>
      </w:r>
      <w:r w:rsidR="00D63D70" w:rsidRPr="00D628F8">
        <w:t xml:space="preserve"> </w:t>
      </w:r>
      <w:r w:rsidR="00BD60F6" w:rsidRPr="00D628F8">
        <w:t>also share some characteristics and con</w:t>
      </w:r>
      <w:r w:rsidR="00F427A9">
        <w:t>siderations</w:t>
      </w:r>
      <w:r w:rsidR="00D960BA" w:rsidRPr="00D628F8">
        <w:t xml:space="preserve">, and clearly </w:t>
      </w:r>
      <w:r w:rsidR="00DE3892" w:rsidRPr="00D628F8">
        <w:t>have at least one thing in common</w:t>
      </w:r>
      <w:r w:rsidR="001B66C9" w:rsidRPr="00D628F8">
        <w:t xml:space="preserve">—they </w:t>
      </w:r>
      <w:r w:rsidR="00DE3892" w:rsidRPr="00D628F8">
        <w:t xml:space="preserve">all carry some degree of </w:t>
      </w:r>
      <w:r w:rsidR="00F427A9" w:rsidRPr="00D628F8">
        <w:t>concern</w:t>
      </w:r>
      <w:r w:rsidR="00A37CCE" w:rsidRPr="00D628F8">
        <w:t xml:space="preserve"> </w:t>
      </w:r>
      <w:r w:rsidR="00DE3892" w:rsidRPr="00D628F8">
        <w:t>about</w:t>
      </w:r>
      <w:r w:rsidR="007A78E8" w:rsidRPr="00D628F8">
        <w:t xml:space="preserve">, and are measurably underrepresented in, </w:t>
      </w:r>
      <w:r w:rsidR="00F6645C" w:rsidRPr="00D628F8">
        <w:t>clinical trials (CTs)</w:t>
      </w:r>
      <w:r w:rsidR="00C42895" w:rsidRPr="00D628F8">
        <w:t>.</w:t>
      </w:r>
      <w:r w:rsidR="00B43AF5">
        <w:t xml:space="preserve"> A</w:t>
      </w:r>
      <w:r w:rsidR="006518D2">
        <w:t xml:space="preserve">lthough the sex distribution of CT participants around the world is almost evenly distributed between </w:t>
      </w:r>
      <w:r w:rsidR="00A9638D">
        <w:t xml:space="preserve">women (51%) and </w:t>
      </w:r>
      <w:r w:rsidR="006518D2">
        <w:t>men (</w:t>
      </w:r>
      <w:r w:rsidR="00A9638D">
        <w:t>49</w:t>
      </w:r>
      <w:r w:rsidR="00592C3E">
        <w:t xml:space="preserve">%), clear </w:t>
      </w:r>
      <w:r w:rsidR="00D0297B">
        <w:t xml:space="preserve">evidence of </w:t>
      </w:r>
      <w:r w:rsidR="009546BA">
        <w:t xml:space="preserve">CT participation </w:t>
      </w:r>
      <w:r w:rsidR="00C57370">
        <w:t>disparity</w:t>
      </w:r>
      <w:r w:rsidR="00592C3E">
        <w:t xml:space="preserve"> exist</w:t>
      </w:r>
      <w:r w:rsidR="00C57370">
        <w:t>s</w:t>
      </w:r>
      <w:r w:rsidR="00AA058F">
        <w:t xml:space="preserve"> globally</w:t>
      </w:r>
      <w:r w:rsidR="00592C3E">
        <w:t xml:space="preserve"> in </w:t>
      </w:r>
      <w:r w:rsidR="00177697">
        <w:t>other categories</w:t>
      </w:r>
      <w:r w:rsidR="00D4788C">
        <w:t xml:space="preserve">, such as </w:t>
      </w:r>
      <w:r w:rsidR="00E3103F">
        <w:t>race, ethnicity, age,</w:t>
      </w:r>
      <w:r w:rsidR="002229F7">
        <w:t xml:space="preserve"> and geographic</w:t>
      </w:r>
      <w:r w:rsidR="00A6219C">
        <w:t xml:space="preserve"> distribu</w:t>
      </w:r>
      <w:r w:rsidR="00B635F5">
        <w:t>tion</w:t>
      </w:r>
      <w:r w:rsidR="00B43AF5" w:rsidRPr="00B43AF5">
        <w:rPr>
          <w:noProof/>
        </w:rPr>
        <w:t xml:space="preserve"> </w:t>
      </w:r>
      <w:r w:rsidR="00B43AF5">
        <w:rPr>
          <w:noProof/>
        </w:rPr>
        <w:t>(U.S. Food &amp; Drug Administration, 2021)</w:t>
      </w:r>
      <w:r w:rsidR="002229F7">
        <w:t>.</w:t>
      </w:r>
    </w:p>
    <w:p w14:paraId="66EC1129" w14:textId="2A743DD1" w:rsidR="00B262CD" w:rsidRDefault="00725E27" w:rsidP="0006212B">
      <w:pPr>
        <w:spacing w:after="120"/>
        <w:contextualSpacing w:val="0"/>
      </w:pPr>
      <w:r w:rsidRPr="00D628F8">
        <w:t>This</w:t>
      </w:r>
      <w:r w:rsidR="009E0A26" w:rsidRPr="00D628F8">
        <w:t xml:space="preserve"> underrepresentation</w:t>
      </w:r>
      <w:r w:rsidRPr="00D628F8">
        <w:t xml:space="preserve"> is </w:t>
      </w:r>
      <w:r w:rsidR="001C29A2" w:rsidRPr="00D628F8">
        <w:t>problematic</w:t>
      </w:r>
      <w:r w:rsidRPr="00D628F8">
        <w:t xml:space="preserve"> for </w:t>
      </w:r>
      <w:r w:rsidR="00AC3495" w:rsidRPr="00D628F8">
        <w:t>at least three</w:t>
      </w:r>
      <w:r w:rsidR="00157268" w:rsidRPr="00D628F8">
        <w:t xml:space="preserve"> </w:t>
      </w:r>
      <w:r w:rsidR="00AC3495" w:rsidRPr="00D628F8">
        <w:t>reasons</w:t>
      </w:r>
      <w:r w:rsidR="00E505C9" w:rsidRPr="00D628F8">
        <w:t xml:space="preserve">. </w:t>
      </w:r>
      <w:r w:rsidR="00A87CDA" w:rsidRPr="00D628F8">
        <w:t xml:space="preserve">First, </w:t>
      </w:r>
      <w:r w:rsidR="0011376A" w:rsidRPr="00D628F8">
        <w:t xml:space="preserve">low inclusion </w:t>
      </w:r>
      <w:r w:rsidR="0011376A">
        <w:t>levels of unders</w:t>
      </w:r>
      <w:r w:rsidR="00F14151">
        <w:t>erved groups in</w:t>
      </w:r>
      <w:r w:rsidR="00F6645C">
        <w:t xml:space="preserve"> CTs</w:t>
      </w:r>
      <w:r w:rsidR="008A2A15">
        <w:t>, medical databases,</w:t>
      </w:r>
      <w:r w:rsidR="00791C47">
        <w:t xml:space="preserve"> and biobanking</w:t>
      </w:r>
      <w:r w:rsidR="00472055">
        <w:t xml:space="preserve"> translate</w:t>
      </w:r>
      <w:r w:rsidR="00157268">
        <w:t xml:space="preserve"> </w:t>
      </w:r>
      <w:r w:rsidR="00472055">
        <w:t>into</w:t>
      </w:r>
      <w:r w:rsidR="005B5DEF">
        <w:t xml:space="preserve"> a lack of research benefits</w:t>
      </w:r>
      <w:r w:rsidR="00472055">
        <w:t xml:space="preserve"> </w:t>
      </w:r>
      <w:r w:rsidR="005B5DEF">
        <w:t xml:space="preserve">for </w:t>
      </w:r>
      <w:r w:rsidR="00472055">
        <w:t>those groups</w:t>
      </w:r>
      <w:r w:rsidR="005B5DEF">
        <w:t>.</w:t>
      </w:r>
      <w:r w:rsidR="004F1CA2">
        <w:t xml:space="preserve"> Second, </w:t>
      </w:r>
      <w:r w:rsidR="00AB4D50">
        <w:t>data resulting from</w:t>
      </w:r>
      <w:r w:rsidR="001A6893">
        <w:t xml:space="preserve"> </w:t>
      </w:r>
      <w:r w:rsidR="00F6645C">
        <w:t>CT</w:t>
      </w:r>
      <w:r w:rsidR="00AB4D50">
        <w:t>s</w:t>
      </w:r>
      <w:r w:rsidR="00F32431">
        <w:t xml:space="preserve"> performed </w:t>
      </w:r>
      <w:r w:rsidR="004F1CA2">
        <w:t xml:space="preserve">without </w:t>
      </w:r>
      <w:r w:rsidR="00871D9F">
        <w:t xml:space="preserve">input from </w:t>
      </w:r>
      <w:r w:rsidR="004176DF">
        <w:t>these populations are not complete, and the</w:t>
      </w:r>
      <w:r w:rsidR="00345319">
        <w:t xml:space="preserve"> </w:t>
      </w:r>
      <w:r w:rsidR="001C2B8E">
        <w:t xml:space="preserve">resulting </w:t>
      </w:r>
      <w:r w:rsidR="00345319">
        <w:t>drug</w:t>
      </w:r>
      <w:r w:rsidR="004176DF">
        <w:t xml:space="preserve"> treatment</w:t>
      </w:r>
      <w:r w:rsidR="00345319">
        <w:t xml:space="preserve">s </w:t>
      </w:r>
      <w:r w:rsidR="00724B04">
        <w:t>and/</w:t>
      </w:r>
      <w:r w:rsidR="00345319">
        <w:t>or medical proc</w:t>
      </w:r>
      <w:r w:rsidR="00724B04">
        <w:t>edures</w:t>
      </w:r>
      <w:r w:rsidR="00133868">
        <w:t xml:space="preserve"> </w:t>
      </w:r>
      <w:r w:rsidR="006E74FB">
        <w:t>may not be effective for all.</w:t>
      </w:r>
      <w:r w:rsidR="00BF66EA">
        <w:t xml:space="preserve"> </w:t>
      </w:r>
      <w:r w:rsidR="00624BCA">
        <w:t xml:space="preserve">Third, </w:t>
      </w:r>
      <w:r w:rsidR="003B454B">
        <w:t>personalized medicine</w:t>
      </w:r>
      <w:r w:rsidR="00A52976">
        <w:t xml:space="preserve"> is being used </w:t>
      </w:r>
      <w:r w:rsidR="002214AA">
        <w:t>globally</w:t>
      </w:r>
      <w:r w:rsidR="00AF0A95">
        <w:t xml:space="preserve"> and</w:t>
      </w:r>
      <w:r w:rsidR="003B454B">
        <w:t xml:space="preserve"> has</w:t>
      </w:r>
      <w:r w:rsidR="00A52976">
        <w:t xml:space="preserve"> begun to positively</w:t>
      </w:r>
      <w:r w:rsidR="002F091C">
        <w:t xml:space="preserve"> affect medical care. </w:t>
      </w:r>
      <w:r w:rsidR="00784D93">
        <w:t xml:space="preserve">For these reasons, </w:t>
      </w:r>
      <w:r w:rsidR="000263EC">
        <w:t xml:space="preserve">better inclusion of underrepresented groups </w:t>
      </w:r>
      <w:r w:rsidR="005575EC">
        <w:t>is</w:t>
      </w:r>
      <w:r w:rsidR="001F23BB">
        <w:t xml:space="preserve"> </w:t>
      </w:r>
      <w:r w:rsidR="001C243D">
        <w:t xml:space="preserve">a </w:t>
      </w:r>
      <w:r w:rsidR="001F23BB">
        <w:t>salient</w:t>
      </w:r>
      <w:r w:rsidR="001C243D">
        <w:t xml:space="preserve"> </w:t>
      </w:r>
      <w:r w:rsidR="003116F2">
        <w:t>factor of improved public health</w:t>
      </w:r>
      <w:r w:rsidR="00296B04">
        <w:t xml:space="preserve">, and </w:t>
      </w:r>
      <w:r w:rsidR="00644E2C">
        <w:t>low participation</w:t>
      </w:r>
      <w:r w:rsidR="00CA5DCF">
        <w:t xml:space="preserve"> creates a scientific barrier to moving forward</w:t>
      </w:r>
      <w:r w:rsidR="003116F2">
        <w:t>.</w:t>
      </w:r>
      <w:r w:rsidR="00C62BF7">
        <w:t xml:space="preserve"> </w:t>
      </w:r>
    </w:p>
    <w:p w14:paraId="4B6EF3FC" w14:textId="0C0885A5" w:rsidR="003061B2" w:rsidRDefault="00E31DF4" w:rsidP="0006212B">
      <w:pPr>
        <w:spacing w:after="120"/>
        <w:contextualSpacing w:val="0"/>
      </w:pPr>
      <w:r>
        <w:t>H</w:t>
      </w:r>
      <w:r w:rsidRPr="00E31DF4">
        <w:t>ealth comm</w:t>
      </w:r>
      <w:r>
        <w:t>unication</w:t>
      </w:r>
      <w:r w:rsidRPr="00E31DF4">
        <w:t xml:space="preserve"> scholars are well po</w:t>
      </w:r>
      <w:r w:rsidR="00BE7B40">
        <w:t>sitione</w:t>
      </w:r>
      <w:r w:rsidRPr="00E31DF4">
        <w:t xml:space="preserve">d to </w:t>
      </w:r>
      <w:r w:rsidR="00BE7B40">
        <w:t>address</w:t>
      </w:r>
      <w:r w:rsidRPr="00E31DF4">
        <w:t xml:space="preserve"> an issue that is widely understood and recognized within the larger health research world</w:t>
      </w:r>
      <w:r w:rsidR="00BE7B40">
        <w:t>.</w:t>
      </w:r>
      <w:r w:rsidRPr="00E31DF4">
        <w:t xml:space="preserve"> </w:t>
      </w:r>
      <w:r w:rsidR="00A70B74">
        <w:t xml:space="preserve">Successfully </w:t>
      </w:r>
      <w:r w:rsidR="007E6499">
        <w:t>tackling</w:t>
      </w:r>
      <w:r w:rsidR="00C62BF7">
        <w:t xml:space="preserve"> </w:t>
      </w:r>
      <w:r w:rsidR="00A70B74">
        <w:t xml:space="preserve">this health problem requires developing and implementing communication strategies that will inform and influence the health decisions of not just these groups as </w:t>
      </w:r>
      <w:r w:rsidR="000E7B92">
        <w:t xml:space="preserve">entire </w:t>
      </w:r>
      <w:r w:rsidR="00A70B74">
        <w:t>entities</w:t>
      </w:r>
      <w:r w:rsidR="000E7B92">
        <w:t>,</w:t>
      </w:r>
      <w:r w:rsidR="00A70B74">
        <w:t xml:space="preserve"> but their</w:t>
      </w:r>
      <w:r w:rsidR="00C81606">
        <w:t xml:space="preserve"> individual</w:t>
      </w:r>
      <w:r w:rsidR="00A70B74">
        <w:t xml:space="preserve"> members as well.</w:t>
      </w:r>
      <w:r w:rsidR="00C81606">
        <w:t xml:space="preserve"> These strategies should integrate theoretical constructs to encourage positive changes in attitudes and behaviors. Therefore, addressing the issue of underrepresented groups in </w:t>
      </w:r>
      <w:r w:rsidR="00F6645C">
        <w:t>CT</w:t>
      </w:r>
      <w:r w:rsidR="00C81606">
        <w:t xml:space="preserve">s is </w:t>
      </w:r>
      <w:r w:rsidR="00CA5DCF">
        <w:t xml:space="preserve">a </w:t>
      </w:r>
      <w:r w:rsidR="00CE7E7F">
        <w:t xml:space="preserve">global </w:t>
      </w:r>
      <w:r w:rsidR="00CA5DCF">
        <w:t>health communication problem</w:t>
      </w:r>
      <w:r w:rsidR="00C81606">
        <w:t>.</w:t>
      </w:r>
    </w:p>
    <w:p w14:paraId="424FFC15" w14:textId="51EED9A7" w:rsidR="00D33692" w:rsidRPr="009A36E9" w:rsidRDefault="000C5B33" w:rsidP="0006212B">
      <w:pPr>
        <w:spacing w:after="120"/>
        <w:ind w:firstLine="0"/>
        <w:contextualSpacing w:val="0"/>
        <w:jc w:val="center"/>
        <w:rPr>
          <w:b/>
          <w:bCs/>
        </w:rPr>
      </w:pPr>
      <w:r w:rsidRPr="009A36E9">
        <w:rPr>
          <w:b/>
          <w:bCs/>
        </w:rPr>
        <w:t>History</w:t>
      </w:r>
    </w:p>
    <w:p w14:paraId="60FEF9D2" w14:textId="436925F9" w:rsidR="00B95756" w:rsidRDefault="00673328" w:rsidP="0006212B">
      <w:pPr>
        <w:spacing w:after="120"/>
        <w:contextualSpacing w:val="0"/>
      </w:pPr>
      <w:r>
        <w:t xml:space="preserve">In </w:t>
      </w:r>
      <w:r w:rsidR="00725E27">
        <w:t>1993</w:t>
      </w:r>
      <w:r w:rsidR="006E6E37">
        <w:t xml:space="preserve"> in the United States</w:t>
      </w:r>
      <w:r w:rsidR="00725E27">
        <w:t xml:space="preserve">, </w:t>
      </w:r>
      <w:r w:rsidR="004C0433">
        <w:t xml:space="preserve">President Bill Clinton signed the </w:t>
      </w:r>
      <w:r w:rsidR="003B6100">
        <w:t xml:space="preserve">NIH </w:t>
      </w:r>
      <w:r w:rsidR="004C0433">
        <w:t>Revitalization Act</w:t>
      </w:r>
      <w:r w:rsidR="00D7363D">
        <w:t xml:space="preserve">, a main tenet of which was to </w:t>
      </w:r>
      <w:r w:rsidR="00425B08">
        <w:t>create</w:t>
      </w:r>
      <w:r w:rsidR="00751FDD">
        <w:t xml:space="preserve"> guidelines for the inclusion of women and minority group members in </w:t>
      </w:r>
      <w:r w:rsidR="00001D41">
        <w:t>U.S.</w:t>
      </w:r>
      <w:r w:rsidR="00AC23CF">
        <w:t xml:space="preserve"> </w:t>
      </w:r>
      <w:r w:rsidR="00751FDD">
        <w:t>clinical research</w:t>
      </w:r>
      <w:r w:rsidR="00483082">
        <w:t xml:space="preserve"> </w:t>
      </w:r>
      <w:r w:rsidR="00E14050">
        <w:rPr>
          <w:noProof/>
        </w:rPr>
        <w:t>(Freedman et al., 1995)</w:t>
      </w:r>
      <w:r w:rsidR="00E14050">
        <w:t xml:space="preserve">. </w:t>
      </w:r>
      <w:r w:rsidR="00AB082C">
        <w:t xml:space="preserve">While </w:t>
      </w:r>
      <w:r w:rsidR="003C3F75">
        <w:t xml:space="preserve">women </w:t>
      </w:r>
      <w:r w:rsidR="00A877A8">
        <w:t xml:space="preserve">are now more present </w:t>
      </w:r>
      <w:r w:rsidR="00782C5B">
        <w:lastRenderedPageBreak/>
        <w:t xml:space="preserve">as participants </w:t>
      </w:r>
      <w:r w:rsidR="003C3F75">
        <w:t xml:space="preserve">in </w:t>
      </w:r>
      <w:r w:rsidR="00F6645C">
        <w:t>CTs</w:t>
      </w:r>
      <w:r w:rsidR="002F3166">
        <w:t xml:space="preserve"> </w:t>
      </w:r>
      <w:r w:rsidR="00104BCF">
        <w:t xml:space="preserve">both </w:t>
      </w:r>
      <w:r w:rsidR="002F3166">
        <w:t>in the U.S</w:t>
      </w:r>
      <w:r w:rsidR="00104BCF">
        <w:t>.</w:t>
      </w:r>
      <w:r w:rsidR="002F3166">
        <w:t xml:space="preserve"> and worldwide</w:t>
      </w:r>
      <w:r w:rsidR="003C3F75">
        <w:t xml:space="preserve">, </w:t>
      </w:r>
      <w:r w:rsidR="00A35972">
        <w:t xml:space="preserve">very little </w:t>
      </w:r>
      <w:r w:rsidR="004F031B">
        <w:t xml:space="preserve">global </w:t>
      </w:r>
      <w:r w:rsidR="00A35972">
        <w:t xml:space="preserve">progress has been made </w:t>
      </w:r>
      <w:r w:rsidR="00925D24">
        <w:t>regarding</w:t>
      </w:r>
      <w:r w:rsidR="007A4464">
        <w:t xml:space="preserve"> establishing </w:t>
      </w:r>
      <w:r w:rsidR="005A1B78">
        <w:t xml:space="preserve">parameters for successfully recruiting members of </w:t>
      </w:r>
      <w:r w:rsidR="003C1256">
        <w:t>minorit</w:t>
      </w:r>
      <w:r w:rsidR="005A1B78">
        <w:t>ized an</w:t>
      </w:r>
      <w:r w:rsidR="00314A28">
        <w:t>d o</w:t>
      </w:r>
      <w:r w:rsidR="003D3660">
        <w:t xml:space="preserve">ther </w:t>
      </w:r>
      <w:r w:rsidR="005A1B78">
        <w:t>underserved</w:t>
      </w:r>
      <w:r w:rsidR="00482A65">
        <w:t xml:space="preserve"> groups</w:t>
      </w:r>
      <w:r w:rsidR="0084586B">
        <w:t xml:space="preserve"> into </w:t>
      </w:r>
      <w:r w:rsidR="00F6645C">
        <w:t>CT</w:t>
      </w:r>
      <w:r w:rsidR="0084586B">
        <w:t>s.</w:t>
      </w:r>
      <w:r w:rsidR="00207273">
        <w:t xml:space="preserve"> </w:t>
      </w:r>
      <w:r w:rsidR="00CE5D68">
        <w:t>For</w:t>
      </w:r>
      <w:r w:rsidR="00A20094">
        <w:t xml:space="preserve"> the purposes of</w:t>
      </w:r>
      <w:r w:rsidR="00CE5D68">
        <w:t xml:space="preserve"> this </w:t>
      </w:r>
      <w:r w:rsidR="00E24778">
        <w:t>entry</w:t>
      </w:r>
      <w:r w:rsidR="00CE5D68">
        <w:t>,</w:t>
      </w:r>
      <w:r w:rsidR="007A6746">
        <w:t xml:space="preserve"> “</w:t>
      </w:r>
      <w:r w:rsidR="00CE5D68">
        <w:t>underrepresented</w:t>
      </w:r>
      <w:r w:rsidR="00F579F7">
        <w:t>” and/or “underserved</w:t>
      </w:r>
      <w:r w:rsidR="00930EB7">
        <w:t xml:space="preserve">” groups </w:t>
      </w:r>
      <w:r w:rsidR="00CE5D68">
        <w:t>include</w:t>
      </w:r>
      <w:r w:rsidR="00A63436">
        <w:t xml:space="preserve"> </w:t>
      </w:r>
      <w:bookmarkStart w:id="0" w:name="_Hlk65341298"/>
      <w:r w:rsidR="000A2A0F">
        <w:t xml:space="preserve">racial and ethnic minority </w:t>
      </w:r>
      <w:r w:rsidR="00BB4CA6">
        <w:t>po</w:t>
      </w:r>
      <w:r w:rsidR="00A63436">
        <w:t>pulations (</w:t>
      </w:r>
      <w:r w:rsidR="00F12539">
        <w:t>p</w:t>
      </w:r>
      <w:r w:rsidR="0048405D">
        <w:t>eople of African descent</w:t>
      </w:r>
      <w:r w:rsidR="00413F0E">
        <w:t xml:space="preserve">, </w:t>
      </w:r>
      <w:r w:rsidR="00552749">
        <w:t>Hispanic</w:t>
      </w:r>
      <w:r w:rsidR="00F12539">
        <w:t xml:space="preserve"> populations</w:t>
      </w:r>
      <w:r w:rsidR="00552749">
        <w:t xml:space="preserve">, </w:t>
      </w:r>
      <w:r w:rsidR="004079F5">
        <w:t xml:space="preserve">people of Asian descent, </w:t>
      </w:r>
      <w:r w:rsidR="00C3405C">
        <w:t>indigenous peoples</w:t>
      </w:r>
      <w:r w:rsidR="007C0D5A">
        <w:t>, etc.</w:t>
      </w:r>
      <w:r w:rsidR="00C3405C">
        <w:t>)</w:t>
      </w:r>
      <w:r w:rsidR="004A0E75">
        <w:t xml:space="preserve">; </w:t>
      </w:r>
      <w:r w:rsidR="00CE5D68">
        <w:t xml:space="preserve">older adults (aged </w:t>
      </w:r>
      <w:r w:rsidR="00AC0ADE" w:rsidRPr="00AC0ADE">
        <w:t>≥</w:t>
      </w:r>
      <w:r w:rsidR="00AC0ADE">
        <w:t xml:space="preserve"> </w:t>
      </w:r>
      <w:r w:rsidR="00CE5D68">
        <w:t>65 years)</w:t>
      </w:r>
      <w:r w:rsidR="007A6746">
        <w:t>;</w:t>
      </w:r>
      <w:r w:rsidR="00CE5D68">
        <w:t xml:space="preserve"> </w:t>
      </w:r>
      <w:r w:rsidR="00D47566">
        <w:t xml:space="preserve">socioeconomically disadvantaged </w:t>
      </w:r>
      <w:r w:rsidR="00CE5D68">
        <w:t>individuals</w:t>
      </w:r>
      <w:r w:rsidR="00D47566">
        <w:t xml:space="preserve">; </w:t>
      </w:r>
      <w:r w:rsidR="00AC6FF1">
        <w:t>rural populations</w:t>
      </w:r>
      <w:r w:rsidR="007A6746">
        <w:t>;</w:t>
      </w:r>
      <w:r w:rsidR="001A3918">
        <w:t xml:space="preserve"> LGBTQ</w:t>
      </w:r>
      <w:r w:rsidR="0011734F">
        <w:t>+ individuals</w:t>
      </w:r>
      <w:r w:rsidR="007A6746">
        <w:t>;</w:t>
      </w:r>
      <w:r w:rsidR="00CE5D68">
        <w:t xml:space="preserve"> </w:t>
      </w:r>
      <w:r w:rsidR="00555DBA">
        <w:t>individuals with disabilities</w:t>
      </w:r>
      <w:r w:rsidR="00135E40">
        <w:t>,</w:t>
      </w:r>
      <w:r w:rsidR="00555DBA">
        <w:t xml:space="preserve"> </w:t>
      </w:r>
      <w:r w:rsidR="00AC6FF1">
        <w:t xml:space="preserve">and </w:t>
      </w:r>
      <w:r w:rsidR="007E3BAB">
        <w:t xml:space="preserve">armed services </w:t>
      </w:r>
      <w:r w:rsidR="00AC6FF1">
        <w:t>veterans</w:t>
      </w:r>
      <w:r w:rsidR="007A6746">
        <w:t>.</w:t>
      </w:r>
    </w:p>
    <w:bookmarkEnd w:id="0"/>
    <w:p w14:paraId="2F4C4700" w14:textId="34C22FF9" w:rsidR="007A7E00" w:rsidRPr="006A09AD" w:rsidRDefault="0084611D" w:rsidP="0006212B">
      <w:pPr>
        <w:spacing w:after="120"/>
        <w:ind w:firstLine="0"/>
        <w:contextualSpacing w:val="0"/>
        <w:rPr>
          <w:b/>
          <w:bCs/>
        </w:rPr>
      </w:pPr>
      <w:r w:rsidRPr="006A09AD">
        <w:rPr>
          <w:b/>
          <w:bCs/>
        </w:rPr>
        <w:t xml:space="preserve">Historically </w:t>
      </w:r>
      <w:r w:rsidR="003C1789" w:rsidRPr="006A09AD">
        <w:rPr>
          <w:b/>
          <w:bCs/>
        </w:rPr>
        <w:t xml:space="preserve">Well-Known </w:t>
      </w:r>
      <w:r w:rsidR="001D0081" w:rsidRPr="006A09AD">
        <w:rPr>
          <w:b/>
          <w:bCs/>
        </w:rPr>
        <w:t>Barriers</w:t>
      </w:r>
      <w:r w:rsidR="00A52EF0" w:rsidRPr="006A09AD">
        <w:rPr>
          <w:b/>
          <w:bCs/>
        </w:rPr>
        <w:t xml:space="preserve"> to Research Participation</w:t>
      </w:r>
    </w:p>
    <w:p w14:paraId="7246AEE7" w14:textId="4C448CB0" w:rsidR="00783918" w:rsidRDefault="005F0D8B" w:rsidP="0006212B">
      <w:pPr>
        <w:spacing w:after="120"/>
        <w:contextualSpacing w:val="0"/>
      </w:pPr>
      <w:r>
        <w:t>Under</w:t>
      </w:r>
      <w:r w:rsidR="00851EED">
        <w:t>represented</w:t>
      </w:r>
      <w:r>
        <w:t xml:space="preserve"> populations’ low participation in r</w:t>
      </w:r>
      <w:r w:rsidRPr="00204644">
        <w:t>esearch</w:t>
      </w:r>
      <w:r>
        <w:t xml:space="preserve"> has been at least partially </w:t>
      </w:r>
      <w:r w:rsidR="00721EF6">
        <w:t xml:space="preserve">attributed </w:t>
      </w:r>
      <w:r w:rsidR="00241E3E">
        <w:t xml:space="preserve">to </w:t>
      </w:r>
      <w:r>
        <w:t xml:space="preserve">certain barriers </w:t>
      </w:r>
      <w:r w:rsidR="009E1E89">
        <w:t xml:space="preserve">repeatedly </w:t>
      </w:r>
      <w:r w:rsidR="008B17D4">
        <w:t xml:space="preserve">reviewed </w:t>
      </w:r>
      <w:r w:rsidR="00A32E1E">
        <w:t>in the literature</w:t>
      </w:r>
      <w:r w:rsidR="00A54EE1">
        <w:t>.</w:t>
      </w:r>
      <w:r w:rsidR="00A32E1E">
        <w:t xml:space="preserve"> </w:t>
      </w:r>
      <w:r w:rsidR="00E20E60">
        <w:t xml:space="preserve">Most common of these </w:t>
      </w:r>
      <w:r w:rsidR="00AD41DC">
        <w:t xml:space="preserve">obstacles </w:t>
      </w:r>
      <w:r w:rsidR="00915569">
        <w:t xml:space="preserve">are lack of </w:t>
      </w:r>
      <w:r w:rsidR="00AE0AAE">
        <w:t xml:space="preserve">awareness of </w:t>
      </w:r>
      <w:r w:rsidR="00F6645C">
        <w:t>CT</w:t>
      </w:r>
      <w:r w:rsidR="00AE0AAE">
        <w:t>s</w:t>
      </w:r>
      <w:r w:rsidR="00612755">
        <w:t xml:space="preserve"> (e.g., rural populations </w:t>
      </w:r>
      <w:r w:rsidR="00557ADB">
        <w:t xml:space="preserve">living </w:t>
      </w:r>
      <w:r w:rsidR="00612755">
        <w:t>far from research institutions</w:t>
      </w:r>
      <w:r w:rsidR="005D6C33">
        <w:t xml:space="preserve">, or </w:t>
      </w:r>
      <w:r w:rsidR="008F18E5">
        <w:t>historically excluded populations</w:t>
      </w:r>
      <w:r w:rsidR="005D6C33">
        <w:t xml:space="preserve"> not informed by their physicians</w:t>
      </w:r>
      <w:r w:rsidR="00557ADB">
        <w:t xml:space="preserve"> about research</w:t>
      </w:r>
      <w:r w:rsidR="005D6C33">
        <w:t>)</w:t>
      </w:r>
      <w:r w:rsidR="008E0622">
        <w:t xml:space="preserve">; </w:t>
      </w:r>
      <w:r w:rsidR="00494C17">
        <w:t>lack of</w:t>
      </w:r>
      <w:r w:rsidR="00AE0AAE">
        <w:t xml:space="preserve"> </w:t>
      </w:r>
      <w:r w:rsidR="00AD41DC">
        <w:t>opportunity to participate</w:t>
      </w:r>
      <w:r w:rsidR="00AA6DA8">
        <w:t xml:space="preserve"> (</w:t>
      </w:r>
      <w:r w:rsidR="00AB66B4">
        <w:t>such as in</w:t>
      </w:r>
      <w:r w:rsidR="003504A9">
        <w:t xml:space="preserve"> </w:t>
      </w:r>
      <w:r w:rsidR="008E0622">
        <w:t>older adults</w:t>
      </w:r>
      <w:r w:rsidR="003B3416">
        <w:t xml:space="preserve"> who have aged out of a trial,</w:t>
      </w:r>
      <w:r w:rsidR="008E0622">
        <w:t xml:space="preserve"> or individuals with comorbidities</w:t>
      </w:r>
      <w:r w:rsidR="003B3416">
        <w:t xml:space="preserve"> who are ineligible</w:t>
      </w:r>
      <w:r w:rsidR="00586704">
        <w:t xml:space="preserve"> for the trial</w:t>
      </w:r>
      <w:r w:rsidR="00FC5D00">
        <w:rPr>
          <w:noProof/>
        </w:rPr>
        <w:t>)</w:t>
      </w:r>
      <w:r w:rsidR="003B3416">
        <w:t>;</w:t>
      </w:r>
      <w:r w:rsidR="00AE0AAE">
        <w:t xml:space="preserve"> and </w:t>
      </w:r>
      <w:r w:rsidR="000F10AE">
        <w:t xml:space="preserve">the </w:t>
      </w:r>
      <w:r w:rsidR="00940553">
        <w:t xml:space="preserve">often </w:t>
      </w:r>
      <w:r w:rsidR="00FB2B88" w:rsidRPr="00F90712">
        <w:t xml:space="preserve">difficult </w:t>
      </w:r>
      <w:r w:rsidR="000F10AE" w:rsidRPr="00F90712">
        <w:t xml:space="preserve">decision to accept or decline </w:t>
      </w:r>
      <w:r w:rsidR="00807BD5" w:rsidRPr="00F90712">
        <w:t>an opportunity</w:t>
      </w:r>
      <w:r w:rsidR="009C237D" w:rsidRPr="00F90712">
        <w:t xml:space="preserve">, as may be the case for </w:t>
      </w:r>
      <w:r w:rsidR="00F22325" w:rsidRPr="00F90712">
        <w:t xml:space="preserve">members of </w:t>
      </w:r>
      <w:r w:rsidR="00A158D7">
        <w:t>minorit</w:t>
      </w:r>
      <w:r w:rsidR="00F22325" w:rsidRPr="00F90712">
        <w:t>ized populations</w:t>
      </w:r>
      <w:r w:rsidR="00E81E48" w:rsidRPr="00F90712">
        <w:t xml:space="preserve"> or </w:t>
      </w:r>
      <w:r w:rsidR="006372B3" w:rsidRPr="00F90712">
        <w:t xml:space="preserve">socioeconomically disadvantaged </w:t>
      </w:r>
      <w:r w:rsidR="00C355F3" w:rsidRPr="00F90712">
        <w:t>individuals</w:t>
      </w:r>
      <w:r w:rsidR="00415AF3">
        <w:t xml:space="preserve">. </w:t>
      </w:r>
      <w:r w:rsidR="00AC1BEF" w:rsidRPr="00F90712">
        <w:t xml:space="preserve">Other commonly cited </w:t>
      </w:r>
      <w:r w:rsidR="001346EE" w:rsidRPr="00F90712">
        <w:t>barriers</w:t>
      </w:r>
      <w:r w:rsidR="00DE5408">
        <w:t xml:space="preserve"> by </w:t>
      </w:r>
      <w:r w:rsidR="007A7C5C">
        <w:t>underrepresented groups</w:t>
      </w:r>
      <w:r w:rsidR="001346EE" w:rsidRPr="00F90712">
        <w:t xml:space="preserve"> </w:t>
      </w:r>
      <w:r w:rsidR="00C351F6" w:rsidRPr="00F90712">
        <w:t>are</w:t>
      </w:r>
      <w:r w:rsidR="00D773A3">
        <w:t xml:space="preserve"> fear,</w:t>
      </w:r>
      <w:r w:rsidR="00C351F6" w:rsidRPr="00F90712">
        <w:t xml:space="preserve"> l</w:t>
      </w:r>
      <w:r w:rsidR="00A65440" w:rsidRPr="00F90712">
        <w:t>ack of trust</w:t>
      </w:r>
      <w:r w:rsidR="00C351F6" w:rsidRPr="00F90712">
        <w:t>,</w:t>
      </w:r>
      <w:r w:rsidR="005939D0" w:rsidRPr="00F90712">
        <w:t xml:space="preserve"> </w:t>
      </w:r>
      <w:r w:rsidR="004969F7">
        <w:t xml:space="preserve">and </w:t>
      </w:r>
      <w:r w:rsidR="00C351F6" w:rsidRPr="00F90712">
        <w:t>concerns for safety</w:t>
      </w:r>
      <w:r w:rsidR="004969F7">
        <w:t>.</w:t>
      </w:r>
    </w:p>
    <w:p w14:paraId="426E78EA" w14:textId="50991EDD" w:rsidR="0016389E" w:rsidRPr="00E5292F" w:rsidRDefault="0009308B" w:rsidP="0006212B">
      <w:pPr>
        <w:spacing w:after="120"/>
        <w:ind w:firstLine="0"/>
        <w:contextualSpacing w:val="0"/>
        <w:jc w:val="center"/>
        <w:rPr>
          <w:b/>
          <w:bCs/>
        </w:rPr>
      </w:pPr>
      <w:r>
        <w:rPr>
          <w:b/>
          <w:bCs/>
        </w:rPr>
        <w:t>Similar</w:t>
      </w:r>
      <w:r w:rsidR="00B14F7F">
        <w:rPr>
          <w:b/>
          <w:bCs/>
        </w:rPr>
        <w:t xml:space="preserve">/Shared </w:t>
      </w:r>
      <w:r>
        <w:rPr>
          <w:b/>
          <w:bCs/>
        </w:rPr>
        <w:t xml:space="preserve">Research </w:t>
      </w:r>
      <w:r w:rsidR="008429C8">
        <w:rPr>
          <w:b/>
          <w:bCs/>
        </w:rPr>
        <w:t>Concerns</w:t>
      </w:r>
      <w:r w:rsidR="0016389E" w:rsidRPr="00E5292F">
        <w:rPr>
          <w:b/>
          <w:bCs/>
        </w:rPr>
        <w:t xml:space="preserve"> Among Underrepresented Groups</w:t>
      </w:r>
    </w:p>
    <w:p w14:paraId="543E05FE" w14:textId="518835BA" w:rsidR="00C23831" w:rsidRDefault="00F51705" w:rsidP="0006212B">
      <w:pPr>
        <w:spacing w:after="120"/>
        <w:contextualSpacing w:val="0"/>
      </w:pPr>
      <w:r>
        <w:t>D</w:t>
      </w:r>
      <w:r w:rsidR="00E42402">
        <w:t>is</w:t>
      </w:r>
      <w:r w:rsidR="00DF184F">
        <w:t>trust and lack of</w:t>
      </w:r>
      <w:r w:rsidR="00C20990">
        <w:t xml:space="preserve"> knowledge</w:t>
      </w:r>
      <w:r w:rsidR="003C5CC4">
        <w:t xml:space="preserve"> </w:t>
      </w:r>
      <w:r w:rsidR="00E441A2">
        <w:t xml:space="preserve">about </w:t>
      </w:r>
      <w:r w:rsidR="00F6645C">
        <w:t>CT</w:t>
      </w:r>
      <w:r w:rsidR="00E441A2">
        <w:t xml:space="preserve">s </w:t>
      </w:r>
      <w:r w:rsidR="003C5CC4">
        <w:t xml:space="preserve">are </w:t>
      </w:r>
      <w:r w:rsidR="00CC65BB">
        <w:t>main obstacles</w:t>
      </w:r>
      <w:r w:rsidR="000D643C">
        <w:t xml:space="preserve"> </w:t>
      </w:r>
      <w:r w:rsidR="000F3795">
        <w:t xml:space="preserve">that </w:t>
      </w:r>
      <w:r w:rsidR="00D255DA">
        <w:t xml:space="preserve">are shared and </w:t>
      </w:r>
      <w:r w:rsidR="00A0273C">
        <w:t>cause varied levels of hesitancy</w:t>
      </w:r>
      <w:r w:rsidR="00BA221A">
        <w:t xml:space="preserve"> within the affected groups</w:t>
      </w:r>
      <w:r w:rsidR="00CC65BB">
        <w:t>.</w:t>
      </w:r>
      <w:r w:rsidR="00D255DA">
        <w:t xml:space="preserve"> </w:t>
      </w:r>
      <w:r w:rsidR="00FA4B2A">
        <w:t>F</w:t>
      </w:r>
      <w:r w:rsidR="00F33ADC">
        <w:t>inding</w:t>
      </w:r>
      <w:r w:rsidR="00FA4B2A">
        <w:t>s</w:t>
      </w:r>
      <w:r w:rsidR="00F33ADC">
        <w:t xml:space="preserve"> of </w:t>
      </w:r>
      <w:r w:rsidR="006A09AD">
        <w:t xml:space="preserve">underserved populations’ </w:t>
      </w:r>
      <w:r w:rsidR="00285C4B">
        <w:t xml:space="preserve">distrust </w:t>
      </w:r>
      <w:r w:rsidR="008938AD">
        <w:t xml:space="preserve">of </w:t>
      </w:r>
      <w:r w:rsidR="004A3D70">
        <w:t>medical research</w:t>
      </w:r>
      <w:r w:rsidR="008938AD">
        <w:t xml:space="preserve"> </w:t>
      </w:r>
      <w:r w:rsidR="00FA4B2A">
        <w:t>are</w:t>
      </w:r>
      <w:r w:rsidR="00116159" w:rsidRPr="00116159">
        <w:t xml:space="preserve"> </w:t>
      </w:r>
      <w:r w:rsidR="00285C4B">
        <w:t>u</w:t>
      </w:r>
      <w:r w:rsidR="00116159" w:rsidRPr="00116159">
        <w:t xml:space="preserve">biquitous in </w:t>
      </w:r>
      <w:r w:rsidR="008938AD">
        <w:t>the</w:t>
      </w:r>
      <w:r w:rsidR="008C4205">
        <w:t xml:space="preserve"> </w:t>
      </w:r>
      <w:r w:rsidR="00AF0A95">
        <w:t xml:space="preserve">global </w:t>
      </w:r>
      <w:r w:rsidR="00525038">
        <w:t>literature</w:t>
      </w:r>
      <w:r w:rsidR="007B6F00">
        <w:t xml:space="preserve">. </w:t>
      </w:r>
      <w:r w:rsidR="00B70796">
        <w:t>Elucidated</w:t>
      </w:r>
      <w:r w:rsidR="00D247ED">
        <w:t xml:space="preserve"> u</w:t>
      </w:r>
      <w:r w:rsidR="00DD4825">
        <w:t xml:space="preserve">nderlying reasons </w:t>
      </w:r>
      <w:r w:rsidR="00602F9C">
        <w:t xml:space="preserve">include </w:t>
      </w:r>
      <w:r w:rsidR="00B477B8">
        <w:t>(</w:t>
      </w:r>
      <w:r w:rsidR="00602F9C">
        <w:t>but are not limited to</w:t>
      </w:r>
      <w:r w:rsidR="00B477B8">
        <w:t>)</w:t>
      </w:r>
      <w:r w:rsidR="00DD4825">
        <w:t xml:space="preserve"> </w:t>
      </w:r>
      <w:r w:rsidR="00B6103D">
        <w:t>histories of medical abuse</w:t>
      </w:r>
      <w:r w:rsidR="00E06AB5">
        <w:t xml:space="preserve"> of</w:t>
      </w:r>
      <w:r w:rsidR="001438FB">
        <w:t xml:space="preserve"> </w:t>
      </w:r>
      <w:r w:rsidR="005127B3">
        <w:t>Black and Brown people</w:t>
      </w:r>
      <w:r w:rsidR="00A858EC" w:rsidRPr="00A858EC">
        <w:t xml:space="preserve"> </w:t>
      </w:r>
      <w:r w:rsidR="00A858EC">
        <w:t>by dominant cultures</w:t>
      </w:r>
      <w:r w:rsidR="00DB44A4">
        <w:t xml:space="preserve"> </w:t>
      </w:r>
      <w:r w:rsidR="00575900">
        <w:rPr>
          <w:noProof/>
        </w:rPr>
        <w:t xml:space="preserve">(Ridley-Merriweather </w:t>
      </w:r>
      <w:r w:rsidR="00400ACE">
        <w:rPr>
          <w:noProof/>
        </w:rPr>
        <w:t>et</w:t>
      </w:r>
      <w:r w:rsidR="006A5036">
        <w:rPr>
          <w:noProof/>
        </w:rPr>
        <w:t xml:space="preserve"> al., 2020</w:t>
      </w:r>
      <w:r w:rsidR="00575900">
        <w:rPr>
          <w:noProof/>
        </w:rPr>
        <w:t>)</w:t>
      </w:r>
      <w:r w:rsidR="00CF4383">
        <w:t>, immigrants’</w:t>
      </w:r>
      <w:r w:rsidR="005127B3">
        <w:t xml:space="preserve"> </w:t>
      </w:r>
      <w:r w:rsidR="001438FB">
        <w:t>fear</w:t>
      </w:r>
      <w:r w:rsidR="00A858EC">
        <w:t>s</w:t>
      </w:r>
      <w:r w:rsidR="001438FB">
        <w:t xml:space="preserve"> of being gathered up </w:t>
      </w:r>
      <w:r w:rsidR="001449D8">
        <w:t xml:space="preserve">for </w:t>
      </w:r>
      <w:r w:rsidR="00B13034">
        <w:t xml:space="preserve">experimentation or </w:t>
      </w:r>
      <w:r w:rsidR="001449D8">
        <w:t>deportation</w:t>
      </w:r>
      <w:r w:rsidR="00575900">
        <w:t xml:space="preserve"> </w:t>
      </w:r>
      <w:r w:rsidR="0016716B">
        <w:rPr>
          <w:noProof/>
        </w:rPr>
        <w:t>(Arevalo et al., 2016)</w:t>
      </w:r>
      <w:r w:rsidR="00B6103D">
        <w:t xml:space="preserve">, </w:t>
      </w:r>
      <w:r w:rsidR="006D10C0">
        <w:t xml:space="preserve">researchers’ lack of </w:t>
      </w:r>
      <w:r w:rsidR="00A634DC">
        <w:t xml:space="preserve">employing </w:t>
      </w:r>
      <w:r w:rsidR="006D10C0">
        <w:t>cultural</w:t>
      </w:r>
      <w:r w:rsidR="00A634DC">
        <w:t>ly</w:t>
      </w:r>
      <w:r w:rsidR="006D10C0">
        <w:t xml:space="preserve"> competen</w:t>
      </w:r>
      <w:r w:rsidR="00A634DC">
        <w:t xml:space="preserve">t communication skills </w:t>
      </w:r>
      <w:r w:rsidR="006D10C0">
        <w:t xml:space="preserve">in approaching </w:t>
      </w:r>
      <w:r w:rsidR="00BA6AE6">
        <w:t xml:space="preserve">indigenous peoples about </w:t>
      </w:r>
      <w:r w:rsidR="00F6645C">
        <w:t>CT</w:t>
      </w:r>
      <w:r w:rsidR="00BA6AE6">
        <w:t>s</w:t>
      </w:r>
      <w:r w:rsidR="00E123DB">
        <w:t xml:space="preserve"> </w:t>
      </w:r>
      <w:r w:rsidR="009B056D">
        <w:t>(Friedman et al., 2015)</w:t>
      </w:r>
      <w:r w:rsidR="00A535A5">
        <w:t xml:space="preserve">, </w:t>
      </w:r>
      <w:r w:rsidR="00BA6AE6">
        <w:t xml:space="preserve">and </w:t>
      </w:r>
      <w:r w:rsidR="002F0D6E">
        <w:t>fear of</w:t>
      </w:r>
      <w:r w:rsidR="00D61907">
        <w:t xml:space="preserve"> stigma</w:t>
      </w:r>
      <w:r w:rsidR="006A09AD">
        <w:t xml:space="preserve"> and </w:t>
      </w:r>
      <w:r w:rsidR="002F0D6E">
        <w:t xml:space="preserve">uncomfortable </w:t>
      </w:r>
      <w:r w:rsidR="008328C8">
        <w:t xml:space="preserve">health </w:t>
      </w:r>
      <w:r w:rsidR="002F0D6E">
        <w:t>experiences by the L</w:t>
      </w:r>
      <w:r w:rsidR="005473BA">
        <w:t>G</w:t>
      </w:r>
      <w:r w:rsidR="002F0D6E">
        <w:t>BTQ</w:t>
      </w:r>
      <w:r w:rsidR="00B0723A">
        <w:t>+ community</w:t>
      </w:r>
      <w:r w:rsidR="00D61907">
        <w:t xml:space="preserve"> </w:t>
      </w:r>
      <w:r w:rsidR="00DB44A4">
        <w:rPr>
          <w:noProof/>
        </w:rPr>
        <w:t>(</w:t>
      </w:r>
      <w:r w:rsidR="00AF0A95">
        <w:rPr>
          <w:noProof/>
        </w:rPr>
        <w:t>Rosa et al., 2020</w:t>
      </w:r>
      <w:r w:rsidR="00DB44A4">
        <w:rPr>
          <w:noProof/>
        </w:rPr>
        <w:t>)</w:t>
      </w:r>
      <w:r w:rsidR="00B0723A">
        <w:t>.</w:t>
      </w:r>
      <w:r w:rsidR="00153EE2">
        <w:t xml:space="preserve"> </w:t>
      </w:r>
      <w:r w:rsidR="00631FA3">
        <w:t>Adding to the feeling of mistrust</w:t>
      </w:r>
      <w:r w:rsidR="00FF00A6">
        <w:t xml:space="preserve">, </w:t>
      </w:r>
      <w:r w:rsidR="008328C8">
        <w:t>each</w:t>
      </w:r>
      <w:r w:rsidR="00A06723">
        <w:t xml:space="preserve"> group’s collective </w:t>
      </w:r>
      <w:r w:rsidR="009A1A9D">
        <w:t xml:space="preserve">medical research history can cause </w:t>
      </w:r>
      <w:r w:rsidR="008328C8">
        <w:t>its</w:t>
      </w:r>
      <w:r w:rsidR="009A1A9D">
        <w:t xml:space="preserve"> population to feel</w:t>
      </w:r>
      <w:r w:rsidR="005B7F74">
        <w:t xml:space="preserve"> socially and racially profiled</w:t>
      </w:r>
      <w:r w:rsidR="00FA17C7">
        <w:t xml:space="preserve"> and </w:t>
      </w:r>
      <w:r w:rsidR="009A1A9D">
        <w:t>invalidated</w:t>
      </w:r>
      <w:r w:rsidR="00191CE6">
        <w:t>.</w:t>
      </w:r>
    </w:p>
    <w:p w14:paraId="65F1D131" w14:textId="74BD4F66" w:rsidR="00E677CE" w:rsidRDefault="00FB4D92" w:rsidP="0006212B">
      <w:pPr>
        <w:spacing w:after="120"/>
        <w:contextualSpacing w:val="0"/>
      </w:pPr>
      <w:r>
        <w:t>Underrepresented group members</w:t>
      </w:r>
      <w:r w:rsidR="009B6E35">
        <w:t xml:space="preserve"> may </w:t>
      </w:r>
      <w:r w:rsidR="00151B65">
        <w:t xml:space="preserve">display low research involvement from </w:t>
      </w:r>
      <w:r w:rsidR="009B6E35">
        <w:t>feel</w:t>
      </w:r>
      <w:r w:rsidR="00151B65">
        <w:t>ing</w:t>
      </w:r>
      <w:r w:rsidR="00856FBD">
        <w:t xml:space="preserve"> </w:t>
      </w:r>
      <w:r w:rsidR="001C3E2B">
        <w:t>distrustful</w:t>
      </w:r>
      <w:r w:rsidR="004627CC">
        <w:t xml:space="preserve"> or from having</w:t>
      </w:r>
      <w:r w:rsidR="0019413C">
        <w:t xml:space="preserve"> </w:t>
      </w:r>
      <w:r w:rsidR="00486C77">
        <w:t>been absent from</w:t>
      </w:r>
      <w:r w:rsidR="00742C30">
        <w:t xml:space="preserve"> </w:t>
      </w:r>
      <w:r w:rsidR="00F6645C">
        <w:t>CT</w:t>
      </w:r>
      <w:r w:rsidR="00486C77">
        <w:t xml:space="preserve"> participation</w:t>
      </w:r>
      <w:r w:rsidR="00742C30">
        <w:t xml:space="preserve"> simply </w:t>
      </w:r>
      <w:r w:rsidR="006A6206">
        <w:t>through having</w:t>
      </w:r>
      <w:r w:rsidR="00742C30">
        <w:t xml:space="preserve"> not been informed</w:t>
      </w:r>
      <w:r w:rsidR="00ED6ECE">
        <w:t xml:space="preserve"> </w:t>
      </w:r>
      <w:r w:rsidR="004627CC">
        <w:t xml:space="preserve">or </w:t>
      </w:r>
      <w:r w:rsidR="001A60E7">
        <w:t>asked to take part.</w:t>
      </w:r>
      <w:r w:rsidR="009338A1">
        <w:t xml:space="preserve"> </w:t>
      </w:r>
      <w:r w:rsidR="001B6D3E">
        <w:t>These group members</w:t>
      </w:r>
      <w:r w:rsidR="00202761">
        <w:t xml:space="preserve"> </w:t>
      </w:r>
      <w:r w:rsidR="006C2357">
        <w:t xml:space="preserve">are </w:t>
      </w:r>
      <w:r w:rsidR="00202761">
        <w:t>often</w:t>
      </w:r>
      <w:r w:rsidR="001B6D3E">
        <w:t xml:space="preserve"> </w:t>
      </w:r>
      <w:r w:rsidR="006C2357">
        <w:t>ill-equipped</w:t>
      </w:r>
      <w:r w:rsidR="003560E2">
        <w:t xml:space="preserve"> to make informed </w:t>
      </w:r>
      <w:r w:rsidR="00E142F2">
        <w:t>decisions about their health</w:t>
      </w:r>
      <w:r w:rsidR="00830D02">
        <w:t xml:space="preserve"> or their possible </w:t>
      </w:r>
      <w:r w:rsidR="00F6645C">
        <w:t>CT</w:t>
      </w:r>
      <w:r w:rsidR="00830D02">
        <w:t xml:space="preserve"> participation</w:t>
      </w:r>
      <w:r w:rsidR="00E142F2">
        <w:t>.</w:t>
      </w:r>
      <w:r w:rsidR="003560E2">
        <w:t xml:space="preserve"> </w:t>
      </w:r>
      <w:r w:rsidR="00BC0957">
        <w:t xml:space="preserve">As </w:t>
      </w:r>
      <w:r w:rsidR="009B6CBD">
        <w:t>example</w:t>
      </w:r>
      <w:r w:rsidR="00BC0957">
        <w:t>s</w:t>
      </w:r>
      <w:r w:rsidR="009B6CBD">
        <w:t>,</w:t>
      </w:r>
      <w:r w:rsidR="007D1614">
        <w:t xml:space="preserve"> o</w:t>
      </w:r>
      <w:r w:rsidR="00DF4168">
        <w:t>lder adults</w:t>
      </w:r>
      <w:r w:rsidR="001459B1">
        <w:t xml:space="preserve"> with cancer</w:t>
      </w:r>
      <w:r w:rsidR="009338A1">
        <w:t xml:space="preserve"> </w:t>
      </w:r>
      <w:r w:rsidR="009D7A4F">
        <w:t xml:space="preserve">are less likely </w:t>
      </w:r>
      <w:r w:rsidR="000E6B1B">
        <w:t xml:space="preserve">than younger individuals </w:t>
      </w:r>
      <w:r w:rsidR="009D7A4F">
        <w:t xml:space="preserve">to </w:t>
      </w:r>
      <w:r w:rsidR="00FF00FB">
        <w:t>be</w:t>
      </w:r>
      <w:r w:rsidR="000A5013">
        <w:t xml:space="preserve"> </w:t>
      </w:r>
      <w:r w:rsidR="00202761">
        <w:t>invited</w:t>
      </w:r>
      <w:r w:rsidR="00FF00FB">
        <w:t xml:space="preserve"> to take part in a cancer </w:t>
      </w:r>
      <w:r w:rsidR="00F6645C">
        <w:t>CT</w:t>
      </w:r>
      <w:r w:rsidR="001F01BA">
        <w:t xml:space="preserve"> o</w:t>
      </w:r>
      <w:r w:rsidR="00A7137A">
        <w:t>r</w:t>
      </w:r>
      <w:r w:rsidR="001F01BA">
        <w:t xml:space="preserve"> to receive</w:t>
      </w:r>
      <w:r w:rsidR="008A7E9F">
        <w:t xml:space="preserve"> systemic treatment </w:t>
      </w:r>
      <w:r w:rsidR="00F9032D">
        <w:rPr>
          <w:noProof/>
        </w:rPr>
        <w:t>(Lackman et al., 2020)</w:t>
      </w:r>
      <w:r w:rsidR="00A46BDF">
        <w:t>. M</w:t>
      </w:r>
      <w:r w:rsidR="00AD2C9D">
        <w:t>embers of rural</w:t>
      </w:r>
      <w:r w:rsidR="007F6ECD">
        <w:t xml:space="preserve"> and/or indigenous communities are likely to live </w:t>
      </w:r>
      <w:r w:rsidR="00E6729E">
        <w:t xml:space="preserve">much </w:t>
      </w:r>
      <w:r w:rsidR="007F6ECD">
        <w:t>far</w:t>
      </w:r>
      <w:r w:rsidR="00E6729E">
        <w:t>ther than urban residents</w:t>
      </w:r>
      <w:r w:rsidR="007F6ECD">
        <w:t xml:space="preserve"> from medical research</w:t>
      </w:r>
      <w:r w:rsidR="00E6729E">
        <w:t xml:space="preserve"> and teaching institutions</w:t>
      </w:r>
      <w:r w:rsidR="00DD2BC5">
        <w:t xml:space="preserve"> and</w:t>
      </w:r>
      <w:r w:rsidR="00302E8F">
        <w:t xml:space="preserve"> are</w:t>
      </w:r>
      <w:r w:rsidR="00E6729E">
        <w:t xml:space="preserve"> less likely to learn about </w:t>
      </w:r>
      <w:r w:rsidR="00F24248">
        <w:t>research availabilit</w:t>
      </w:r>
      <w:r w:rsidR="00DD2BC5">
        <w:t>y</w:t>
      </w:r>
      <w:r w:rsidR="00A46BDF">
        <w:t xml:space="preserve"> </w:t>
      </w:r>
      <w:r w:rsidR="00500CA1">
        <w:rPr>
          <w:noProof/>
        </w:rPr>
        <w:t>(Friedman et al., 2015)</w:t>
      </w:r>
      <w:r w:rsidR="00A46BDF">
        <w:t>.</w:t>
      </w:r>
      <w:r w:rsidR="00F24248">
        <w:t xml:space="preserve"> </w:t>
      </w:r>
      <w:r w:rsidR="00C540DB">
        <w:t xml:space="preserve">Finally, </w:t>
      </w:r>
      <w:r w:rsidR="00D874AF">
        <w:t>almost all gro</w:t>
      </w:r>
      <w:r w:rsidR="00BB5BF9">
        <w:t xml:space="preserve">ups report that </w:t>
      </w:r>
      <w:r w:rsidR="00FC2D28">
        <w:t xml:space="preserve">neither </w:t>
      </w:r>
      <w:r w:rsidR="00BB5BF9">
        <w:t xml:space="preserve">their </w:t>
      </w:r>
      <w:r w:rsidR="00FC2D28">
        <w:t xml:space="preserve">personal care physicians nor </w:t>
      </w:r>
      <w:r w:rsidR="00DE422C">
        <w:t>disease specialists</w:t>
      </w:r>
      <w:r w:rsidR="005956F9">
        <w:t xml:space="preserve"> </w:t>
      </w:r>
      <w:r w:rsidR="00D436F8">
        <w:t xml:space="preserve">talk to them about </w:t>
      </w:r>
      <w:r w:rsidR="00F6645C">
        <w:t>CT</w:t>
      </w:r>
      <w:r w:rsidR="00D828AF">
        <w:t xml:space="preserve"> participation.</w:t>
      </w:r>
      <w:r w:rsidR="00D21B73">
        <w:t xml:space="preserve"> </w:t>
      </w:r>
      <w:r w:rsidR="00B85E11">
        <w:t xml:space="preserve">In these situations, health communication scholars </w:t>
      </w:r>
      <w:r w:rsidR="00096714">
        <w:t>should</w:t>
      </w:r>
      <w:r w:rsidR="00B85E11">
        <w:t xml:space="preserve"> be brought into the conversation </w:t>
      </w:r>
      <w:r w:rsidR="00CC6558">
        <w:t>as individuals uniquely qualified to</w:t>
      </w:r>
      <w:r w:rsidR="007709F3">
        <w:t xml:space="preserve"> </w:t>
      </w:r>
      <w:r w:rsidR="00C046A2">
        <w:t>present CT participation as a</w:t>
      </w:r>
      <w:r w:rsidR="003A67BF">
        <w:t xml:space="preserve">n important way to benefit </w:t>
      </w:r>
      <w:r w:rsidR="00412A49">
        <w:t>the participant</w:t>
      </w:r>
      <w:r w:rsidR="008D1EF7">
        <w:t>s and their c</w:t>
      </w:r>
      <w:r w:rsidR="00412A49">
        <w:t>ommunity.</w:t>
      </w:r>
      <w:r w:rsidR="00D21B73" w:rsidRPr="00D21B73">
        <w:t xml:space="preserve"> </w:t>
      </w:r>
    </w:p>
    <w:p w14:paraId="28A3470B" w14:textId="77777777" w:rsidR="00AF0A95" w:rsidRPr="00793A9C" w:rsidRDefault="00AF0A95" w:rsidP="0006212B">
      <w:pPr>
        <w:spacing w:after="120"/>
        <w:ind w:firstLine="0"/>
        <w:contextualSpacing w:val="0"/>
        <w:jc w:val="center"/>
        <w:rPr>
          <w:b/>
          <w:bCs/>
        </w:rPr>
      </w:pPr>
      <w:r>
        <w:rPr>
          <w:b/>
          <w:bCs/>
        </w:rPr>
        <w:t>Particular Concerns of Certain</w:t>
      </w:r>
      <w:r w:rsidRPr="00793A9C">
        <w:rPr>
          <w:b/>
          <w:bCs/>
        </w:rPr>
        <w:t xml:space="preserve"> Underrepresented Groups</w:t>
      </w:r>
    </w:p>
    <w:p w14:paraId="1AE94298" w14:textId="35592624" w:rsidR="00AF0A95" w:rsidRDefault="00F51705" w:rsidP="0006212B">
      <w:pPr>
        <w:spacing w:after="120"/>
        <w:contextualSpacing w:val="0"/>
      </w:pPr>
      <w:bookmarkStart w:id="1" w:name="_Hlk65614835"/>
      <w:r>
        <w:lastRenderedPageBreak/>
        <w:t xml:space="preserve">Although </w:t>
      </w:r>
      <w:r w:rsidR="00161980">
        <w:t>many common obstacles are shared by a majority of members of underserved populations</w:t>
      </w:r>
      <w:r w:rsidR="002F62E0">
        <w:t>,</w:t>
      </w:r>
      <w:r w:rsidR="00161980">
        <w:t xml:space="preserve"> </w:t>
      </w:r>
      <w:r>
        <w:t>some concerns about (and barriers to) research participation are unique to particular groups</w:t>
      </w:r>
      <w:r w:rsidR="002F62E0">
        <w:t>. D</w:t>
      </w:r>
      <w:r w:rsidR="00AF0A95">
        <w:t xml:space="preserve">isparate </w:t>
      </w:r>
      <w:r w:rsidR="002F62E0">
        <w:t>communities</w:t>
      </w:r>
      <w:r w:rsidR="00AF0A95">
        <w:t xml:space="preserve"> that share the description “underrepresented” in research usually possess unique concerns</w:t>
      </w:r>
      <w:r w:rsidR="00AF0A95" w:rsidRPr="00303757">
        <w:t xml:space="preserve"> </w:t>
      </w:r>
      <w:r w:rsidR="00AF0A95">
        <w:t>about, and experience group-centric obstacles to, CT participation</w:t>
      </w:r>
      <w:bookmarkEnd w:id="1"/>
      <w:r w:rsidR="00430E85">
        <w:t xml:space="preserve">, </w:t>
      </w:r>
      <w:r w:rsidR="00AF0A95">
        <w:t>often result</w:t>
      </w:r>
      <w:r w:rsidR="00430E85">
        <w:t>ing</w:t>
      </w:r>
      <w:r w:rsidR="00AF0A95">
        <w:t xml:space="preserve"> from absent or unclear communication from the research community. For example, members of historically excluded populations have expressed fear about taking part in biomedical research. This fear in individuals of African descent is likely rooted in evidence</w:t>
      </w:r>
      <w:r w:rsidR="00C10233">
        <w:t xml:space="preserve"> from different countries</w:t>
      </w:r>
      <w:r w:rsidR="00AF0A95">
        <w:t xml:space="preserve"> of past abuses or lack of positive experiences in medical situations </w:t>
      </w:r>
      <w:r w:rsidR="00AF0A95">
        <w:rPr>
          <w:noProof/>
        </w:rPr>
        <w:t>(Clark et al., 2019)</w:t>
      </w:r>
      <w:r w:rsidR="00AF0A95">
        <w:t xml:space="preserve">. Hispanics may be apprehensive about subjecting their bodies to invasive procedures or needing to show identification to register for participation </w:t>
      </w:r>
      <w:r w:rsidR="00AF0A95">
        <w:rPr>
          <w:noProof/>
        </w:rPr>
        <w:t>(Arevalo, 2016)</w:t>
      </w:r>
      <w:r w:rsidR="00AF0A95">
        <w:t xml:space="preserve">. Members of many Asian cultures may suffer from feeling stigmatized by their disease or illness and not want to disclose it even to family members. Many indigenous groups share grave concerns about digital data generated by CTs, who owns and has control of that data, and how it is managed and used. These are all exemplars of </w:t>
      </w:r>
      <w:r w:rsidR="006B3811">
        <w:t xml:space="preserve">individual </w:t>
      </w:r>
      <w:r w:rsidR="00AF0A95">
        <w:t xml:space="preserve">cultural concerns affecting recruitment of these groups to CTs, and they are best addressed and alleviated through dedicated use of culturally competent communication practices that honor the individuals and </w:t>
      </w:r>
      <w:r w:rsidR="00AF0A95" w:rsidRPr="005178F9">
        <w:t>respect</w:t>
      </w:r>
      <w:r w:rsidR="00AF0A95">
        <w:t xml:space="preserve"> their cultures and heritages. </w:t>
      </w:r>
    </w:p>
    <w:p w14:paraId="01AC93A5" w14:textId="708ED07B" w:rsidR="00AF0A95" w:rsidRDefault="00AF0A95" w:rsidP="0006212B">
      <w:pPr>
        <w:spacing w:after="120"/>
        <w:contextualSpacing w:val="0"/>
      </w:pPr>
      <w:r>
        <w:t xml:space="preserve">Other underrepresented groups’ research participation hesitancy is likely centered in their own particular communication concerns. For example, older people and individuals </w:t>
      </w:r>
      <w:r w:rsidR="00BB0827" w:rsidRPr="00E8395E">
        <w:t>at regional, national</w:t>
      </w:r>
      <w:r w:rsidR="00BB0827">
        <w:t>,</w:t>
      </w:r>
      <w:r w:rsidR="00BB0827" w:rsidRPr="00E8395E">
        <w:t xml:space="preserve"> and global levels</w:t>
      </w:r>
      <w:r w:rsidR="00BB0827">
        <w:t xml:space="preserve">, </w:t>
      </w:r>
      <w:r>
        <w:t>who are socioeconomically deprived</w:t>
      </w:r>
      <w:r w:rsidR="00BB0827">
        <w:t>,</w:t>
      </w:r>
      <w:r>
        <w:t xml:space="preserve"> may demonstrate lower </w:t>
      </w:r>
      <w:r w:rsidRPr="00E8395E">
        <w:t xml:space="preserve">health literacy, thereby complicating their ability to fully relate </w:t>
      </w:r>
      <w:r>
        <w:t xml:space="preserve">to CT recruitment messaging. Currently, CT recruitment of veterans focuses on those who receive healthcare from their national government. However, it is important </w:t>
      </w:r>
      <w:r w:rsidR="00876AD8">
        <w:t xml:space="preserve">worldwide </w:t>
      </w:r>
      <w:r>
        <w:t xml:space="preserve">to develop other communication outreach strategies to include more members of this important underrepresented group in research. To help foster feelings of safety, LGBTQ+ individuals want to find queer-friendly healthcare clinicians and researchers </w:t>
      </w:r>
      <w:r>
        <w:rPr>
          <w:noProof/>
        </w:rPr>
        <w:t>(Rosa et al., 2020)</w:t>
      </w:r>
      <w:r>
        <w:t xml:space="preserve">. Finally, individuals with physical disabilities may face a range of physical, mental, and logistical barriers to participation in CTs. The skilled use of interpersonal and relational communication behaviors, coupled with genuine interest in helping underserved populations, can encourage these and other underrepresented group members to become biomedical research participants </w:t>
      </w:r>
      <w:r>
        <w:rPr>
          <w:noProof/>
        </w:rPr>
        <w:t>(Morgan et al., 2017)</w:t>
      </w:r>
      <w:r>
        <w:t>.</w:t>
      </w:r>
    </w:p>
    <w:p w14:paraId="4838BD5A" w14:textId="77777777" w:rsidR="00DB19E7" w:rsidRPr="00793A9C" w:rsidRDefault="00DB19E7" w:rsidP="0006212B">
      <w:pPr>
        <w:spacing w:after="120"/>
        <w:ind w:firstLine="0"/>
        <w:contextualSpacing w:val="0"/>
        <w:jc w:val="center"/>
        <w:rPr>
          <w:b/>
          <w:bCs/>
        </w:rPr>
      </w:pPr>
      <w:r>
        <w:rPr>
          <w:b/>
          <w:bCs/>
        </w:rPr>
        <w:t xml:space="preserve">Future Research - Health Communication-Focused </w:t>
      </w:r>
      <w:r w:rsidRPr="005405DB">
        <w:rPr>
          <w:b/>
          <w:bCs/>
        </w:rPr>
        <w:t>Strategies</w:t>
      </w:r>
      <w:r>
        <w:rPr>
          <w:b/>
          <w:bCs/>
        </w:rPr>
        <w:t xml:space="preserve"> to</w:t>
      </w:r>
      <w:r w:rsidRPr="005405DB">
        <w:rPr>
          <w:b/>
          <w:bCs/>
        </w:rPr>
        <w:t xml:space="preserve"> Engage and Recruit </w:t>
      </w:r>
      <w:r>
        <w:rPr>
          <w:b/>
          <w:bCs/>
        </w:rPr>
        <w:t>Underrepresented Groups</w:t>
      </w:r>
    </w:p>
    <w:p w14:paraId="43C4FE1C" w14:textId="4725E851" w:rsidR="00DB19E7" w:rsidRPr="00A31772" w:rsidRDefault="00DB19E7" w:rsidP="0006212B">
      <w:pPr>
        <w:spacing w:after="120"/>
        <w:ind w:firstLine="0"/>
        <w:contextualSpacing w:val="0"/>
      </w:pPr>
      <w:r>
        <w:tab/>
        <w:t xml:space="preserve">To address, navigate, circumvent, reduce, or eliminate the barriers and concerns about CT participation faced by underserved/underrepresented populations as discussed so far in this entry, several </w:t>
      </w:r>
      <w:r w:rsidR="00CF3761">
        <w:t xml:space="preserve">health communication </w:t>
      </w:r>
      <w:r>
        <w:t>strategies applicable to future research, along with recommended theoretical frameworks helpful to health communication design approaches, are now suggested</w:t>
      </w:r>
      <w:r w:rsidR="00F81021">
        <w:t xml:space="preserve"> (see Table 1).</w:t>
      </w:r>
    </w:p>
    <w:p w14:paraId="77555EE5" w14:textId="77777777" w:rsidR="00DB19E7" w:rsidRPr="006A09AD" w:rsidRDefault="00DB19E7" w:rsidP="0006212B">
      <w:pPr>
        <w:spacing w:after="120"/>
        <w:ind w:firstLine="0"/>
        <w:contextualSpacing w:val="0"/>
        <w:rPr>
          <w:b/>
          <w:bCs/>
        </w:rPr>
      </w:pPr>
      <w:r w:rsidRPr="006A09AD">
        <w:rPr>
          <w:b/>
          <w:bCs/>
        </w:rPr>
        <w:t>Strategy—Study and Apply Cultural Competency</w:t>
      </w:r>
    </w:p>
    <w:p w14:paraId="21267885" w14:textId="1B58384E" w:rsidR="00DB19E7" w:rsidRPr="007D5808" w:rsidRDefault="00DB19E7" w:rsidP="0006212B">
      <w:pPr>
        <w:spacing w:after="120"/>
        <w:contextualSpacing w:val="0"/>
      </w:pPr>
      <w:r w:rsidRPr="00911857">
        <w:t xml:space="preserve">To be culturally competent is to understand and communicate with individuals across cultures, and to grow positive attitudes toward cultural differences. </w:t>
      </w:r>
      <w:r w:rsidR="00EE45D6">
        <w:t>Globally, r</w:t>
      </w:r>
      <w:r w:rsidRPr="00911857">
        <w:t>esearchers should plan to learn and honor the cultural habits and norms of the studied group</w:t>
      </w:r>
      <w:r>
        <w:t xml:space="preserve"> and should</w:t>
      </w:r>
      <w:r w:rsidRPr="00911857">
        <w:t xml:space="preserve"> interact with individuals or small groups to avoid overwhelming community members. Take care to </w:t>
      </w:r>
      <w:r w:rsidRPr="00911857">
        <w:lastRenderedPageBreak/>
        <w:t xml:space="preserve">inquire about and learn any preferred group labels, as identity preference can be salient to </w:t>
      </w:r>
      <w:r w:rsidRPr="007D5808">
        <w:t>racial/ethnic groups and the LGBTQ+ community</w:t>
      </w:r>
      <w:r w:rsidR="00F06D58">
        <w:t>.</w:t>
      </w:r>
    </w:p>
    <w:p w14:paraId="46AED047" w14:textId="77777777" w:rsidR="00DB19E7" w:rsidRPr="006A09AD" w:rsidRDefault="00DB19E7" w:rsidP="0006212B">
      <w:pPr>
        <w:spacing w:after="120"/>
        <w:ind w:firstLine="0"/>
        <w:contextualSpacing w:val="0"/>
        <w:rPr>
          <w:b/>
          <w:bCs/>
        </w:rPr>
      </w:pPr>
      <w:r w:rsidRPr="006A09AD">
        <w:rPr>
          <w:b/>
          <w:bCs/>
        </w:rPr>
        <w:t>Strategy—Be Transparent, Share Information</w:t>
      </w:r>
    </w:p>
    <w:p w14:paraId="3B78FF65" w14:textId="77777777" w:rsidR="00DB19E7" w:rsidRPr="00E50A4A" w:rsidRDefault="00DB19E7" w:rsidP="0006212B">
      <w:pPr>
        <w:spacing w:after="120"/>
        <w:contextualSpacing w:val="0"/>
      </w:pPr>
      <w:r w:rsidRPr="007D5808">
        <w:t xml:space="preserve">Some members of underrepresented groups who have previously participated in research have expressed disappointment in </w:t>
      </w:r>
      <w:r>
        <w:t>the lack of</w:t>
      </w:r>
      <w:r w:rsidRPr="007D5808">
        <w:t xml:space="preserve"> follow-up outreach from research teams. They</w:t>
      </w:r>
      <w:r>
        <w:t xml:space="preserve"> </w:t>
      </w:r>
      <w:r w:rsidRPr="007D5808">
        <w:t xml:space="preserve">desire </w:t>
      </w:r>
      <w:r w:rsidRPr="00DD2BC5">
        <w:t xml:space="preserve">information about study progress or findings </w:t>
      </w:r>
      <w:r w:rsidRPr="007D5808">
        <w:t xml:space="preserve">not only for themselves, but so that their community can apply it toward making informed healthcare decisions. Researchers should plan to provide post-study (or during if study </w:t>
      </w:r>
      <w:r w:rsidRPr="00E50A4A">
        <w:t>is longitudinal) outreach and messaging to both inform community members and keep them engaged.</w:t>
      </w:r>
    </w:p>
    <w:p w14:paraId="648C43D7" w14:textId="77777777" w:rsidR="00DB19E7" w:rsidRPr="003D493A" w:rsidRDefault="00DB19E7" w:rsidP="0006212B">
      <w:pPr>
        <w:spacing w:after="120"/>
        <w:ind w:firstLine="0"/>
        <w:contextualSpacing w:val="0"/>
        <w:rPr>
          <w:b/>
          <w:bCs/>
        </w:rPr>
      </w:pPr>
      <w:r w:rsidRPr="003D493A">
        <w:rPr>
          <w:b/>
          <w:bCs/>
        </w:rPr>
        <w:t>Strategy—Snowball Sampling</w:t>
      </w:r>
    </w:p>
    <w:p w14:paraId="7413893C" w14:textId="77777777" w:rsidR="00DB19E7" w:rsidRPr="00E50A4A" w:rsidRDefault="00DB19E7" w:rsidP="0006212B">
      <w:pPr>
        <w:spacing w:after="120"/>
        <w:contextualSpacing w:val="0"/>
      </w:pPr>
      <w:r w:rsidRPr="00E50A4A">
        <w:t>Snowball sampling</w:t>
      </w:r>
      <w:r>
        <w:t>, or</w:t>
      </w:r>
      <w:r w:rsidRPr="00E50A4A">
        <w:t xml:space="preserve"> engag</w:t>
      </w:r>
      <w:r>
        <w:t>ing</w:t>
      </w:r>
      <w:r w:rsidRPr="00E50A4A">
        <w:t xml:space="preserve"> participants in assisting with identification of other potential participants, tends to lessen feelings of distrust in potential participants </w:t>
      </w:r>
      <w:r>
        <w:t xml:space="preserve">and </w:t>
      </w:r>
      <w:r w:rsidRPr="00E50A4A">
        <w:t>can be a successful tool for the health communication researcher.</w:t>
      </w:r>
    </w:p>
    <w:p w14:paraId="7CA6E3D4" w14:textId="5AE73A64" w:rsidR="00DB19E7" w:rsidRPr="006A09AD" w:rsidRDefault="00DB19E7" w:rsidP="0006212B">
      <w:pPr>
        <w:spacing w:after="120"/>
        <w:ind w:firstLine="0"/>
        <w:contextualSpacing w:val="0"/>
        <w:rPr>
          <w:b/>
          <w:bCs/>
        </w:rPr>
      </w:pPr>
      <w:bookmarkStart w:id="2" w:name="_Hlk65406121"/>
      <w:r w:rsidRPr="006A09AD">
        <w:rPr>
          <w:b/>
          <w:bCs/>
        </w:rPr>
        <w:t>Strategy—Improve Patient-</w:t>
      </w:r>
      <w:r w:rsidR="00AF0A95">
        <w:rPr>
          <w:b/>
          <w:bCs/>
        </w:rPr>
        <w:t>Clinician</w:t>
      </w:r>
      <w:r w:rsidRPr="006A09AD">
        <w:rPr>
          <w:b/>
          <w:bCs/>
        </w:rPr>
        <w:t xml:space="preserve"> Communication</w:t>
      </w:r>
    </w:p>
    <w:p w14:paraId="297F3F97" w14:textId="4FD7373E" w:rsidR="00DB19E7" w:rsidRPr="00A574F9" w:rsidRDefault="00DB19E7" w:rsidP="0006212B">
      <w:pPr>
        <w:spacing w:after="120"/>
        <w:contextualSpacing w:val="0"/>
      </w:pPr>
      <w:r w:rsidRPr="004E34F2">
        <w:t xml:space="preserve">A number of studies have reported that in response to described poor communication in medical settings and from medical </w:t>
      </w:r>
      <w:r w:rsidR="00AF0A95">
        <w:t>clinician</w:t>
      </w:r>
      <w:r w:rsidRPr="004E34F2">
        <w:t xml:space="preserve">s, members of underserved communities have expressed a profound need for improved </w:t>
      </w:r>
      <w:r>
        <w:t xml:space="preserve">communication between </w:t>
      </w:r>
      <w:r w:rsidRPr="004E34F2">
        <w:t>patient</w:t>
      </w:r>
      <w:r>
        <w:t>s and their clinicians or research study personnel</w:t>
      </w:r>
      <w:r w:rsidRPr="004E34F2">
        <w:t xml:space="preserve">. Lack of community participation in research can be linked to ineffective communication with medical </w:t>
      </w:r>
      <w:r w:rsidR="00AF0A95">
        <w:t>clinician</w:t>
      </w:r>
      <w:r w:rsidRPr="004E34F2">
        <w:t xml:space="preserve">s </w:t>
      </w:r>
      <w:r w:rsidRPr="00A574F9">
        <w:t>and/or researchers.</w:t>
      </w:r>
    </w:p>
    <w:bookmarkEnd w:id="2"/>
    <w:p w14:paraId="4258C9EC" w14:textId="77777777" w:rsidR="00DB19E7" w:rsidRPr="006A09AD" w:rsidRDefault="00DB19E7" w:rsidP="0006212B">
      <w:pPr>
        <w:spacing w:after="120"/>
        <w:ind w:firstLine="0"/>
        <w:contextualSpacing w:val="0"/>
        <w:rPr>
          <w:b/>
          <w:bCs/>
        </w:rPr>
      </w:pPr>
      <w:r w:rsidRPr="006A09AD">
        <w:rPr>
          <w:b/>
          <w:bCs/>
        </w:rPr>
        <w:t>Strategy—Employ Community-Based Participatory Research</w:t>
      </w:r>
      <w:r>
        <w:rPr>
          <w:b/>
          <w:bCs/>
        </w:rPr>
        <w:t xml:space="preserve"> (CBPR)</w:t>
      </w:r>
    </w:p>
    <w:p w14:paraId="634741D1" w14:textId="04058594" w:rsidR="00DB19E7" w:rsidRPr="00A574F9" w:rsidRDefault="00DB19E7" w:rsidP="0006212B">
      <w:pPr>
        <w:spacing w:after="120"/>
        <w:contextualSpacing w:val="0"/>
      </w:pPr>
      <w:r w:rsidRPr="00A574F9">
        <w:t xml:space="preserve">Involving underserved community members in the health communication research process likely translates to higher probability that their needs and preferences would be part of research outcomes and improvement of healthcare delivery. CBPR is a health-focused methodology supporting collaborative interventions involving scientific researchers and community members working together to affect health disparities in underrepresented communities. </w:t>
      </w:r>
    </w:p>
    <w:p w14:paraId="186997A4" w14:textId="77777777" w:rsidR="00DB19E7" w:rsidRPr="006A09AD" w:rsidRDefault="00DB19E7" w:rsidP="0006212B">
      <w:pPr>
        <w:spacing w:after="120"/>
        <w:ind w:firstLine="0"/>
        <w:contextualSpacing w:val="0"/>
        <w:rPr>
          <w:b/>
          <w:bCs/>
        </w:rPr>
      </w:pPr>
      <w:r w:rsidRPr="006A09AD">
        <w:rPr>
          <w:b/>
          <w:bCs/>
        </w:rPr>
        <w:t>Strategy—Involve/Engage Key Community Leaders</w:t>
      </w:r>
    </w:p>
    <w:p w14:paraId="25EB30AB" w14:textId="77777777" w:rsidR="00DB19E7" w:rsidRPr="00C371E9" w:rsidRDefault="00DB19E7" w:rsidP="0006212B">
      <w:pPr>
        <w:spacing w:after="120"/>
        <w:contextualSpacing w:val="0"/>
      </w:pPr>
      <w:r w:rsidRPr="00C371E9">
        <w:t>Researchers engage, appeal to, and educate community leaders about the proposed research. The goal is to encourage community leaders to become early adopters, and to bring other community members along as the desired behavior gains momentum and spreads. Educating and appealing to community leaders can also signify respect and indicate researchers’ willingness to come into and engage with the community, even if logistics demand that actual study procedures must be performed elsewhere.</w:t>
      </w:r>
    </w:p>
    <w:p w14:paraId="61AB488B" w14:textId="77777777" w:rsidR="00DB19E7" w:rsidRPr="006A09AD" w:rsidRDefault="00DB19E7" w:rsidP="0006212B">
      <w:pPr>
        <w:spacing w:after="120"/>
        <w:ind w:firstLine="0"/>
        <w:contextualSpacing w:val="0"/>
        <w:rPr>
          <w:b/>
          <w:bCs/>
        </w:rPr>
      </w:pPr>
      <w:r w:rsidRPr="006A09AD">
        <w:rPr>
          <w:b/>
          <w:bCs/>
        </w:rPr>
        <w:t>Strategy—Use Message Targeting and Tailoring</w:t>
      </w:r>
    </w:p>
    <w:p w14:paraId="030AED6B" w14:textId="287AEB64" w:rsidR="00DB19E7" w:rsidRPr="00E05E9A" w:rsidRDefault="00DB19E7" w:rsidP="0006212B">
      <w:pPr>
        <w:spacing w:after="120"/>
        <w:contextualSpacing w:val="0"/>
      </w:pPr>
      <w:r w:rsidRPr="00E05E9A">
        <w:t>Performing rigorous formative research within an underserved community</w:t>
      </w:r>
      <w:r>
        <w:t xml:space="preserve"> and </w:t>
      </w:r>
      <w:r w:rsidRPr="00E05E9A">
        <w:t xml:space="preserve">developing </w:t>
      </w:r>
      <w:r w:rsidR="009D5C19">
        <w:t xml:space="preserve">population-targeted </w:t>
      </w:r>
      <w:r w:rsidRPr="00E05E9A">
        <w:t>health communication messaging is an excellent strategy for successful outcomes. Tailoring the messaging to community individuals would likely create even more positive results from messaging campaigns an</w:t>
      </w:r>
      <w:r>
        <w:t>d</w:t>
      </w:r>
      <w:r w:rsidRPr="00E05E9A">
        <w:t xml:space="preserve"> interventions.</w:t>
      </w:r>
    </w:p>
    <w:p w14:paraId="7E75BAB8" w14:textId="77777777" w:rsidR="00DB19E7" w:rsidRPr="006A09AD" w:rsidRDefault="00DB19E7" w:rsidP="0006212B">
      <w:pPr>
        <w:spacing w:after="120"/>
        <w:ind w:firstLine="0"/>
        <w:contextualSpacing w:val="0"/>
        <w:rPr>
          <w:b/>
          <w:bCs/>
        </w:rPr>
      </w:pPr>
      <w:r w:rsidRPr="006A09AD">
        <w:rPr>
          <w:b/>
          <w:bCs/>
        </w:rPr>
        <w:lastRenderedPageBreak/>
        <w:t>Strategy—Look for the “Why”</w:t>
      </w:r>
    </w:p>
    <w:p w14:paraId="36819C36" w14:textId="76ED0E31" w:rsidR="00DB19E7" w:rsidRPr="00A31772" w:rsidRDefault="00DB19E7" w:rsidP="0006212B">
      <w:pPr>
        <w:spacing w:after="120"/>
        <w:contextualSpacing w:val="0"/>
      </w:pPr>
      <w:r w:rsidRPr="0063314D">
        <w:t>Applying quantitative methods alone may not yield the depth of results needed to actually apply the findings. Researchers may find that</w:t>
      </w:r>
      <w:r w:rsidR="006731D3">
        <w:t xml:space="preserve"> adding </w:t>
      </w:r>
      <w:r w:rsidRPr="0063314D">
        <w:t>qualitative explanatory findings can create the added benefits of knowing the “why” behind certain results. Health communication researchers should consider using mixed methods to help address a particularly dense or complex health communication challenge</w:t>
      </w:r>
      <w:r>
        <w:t xml:space="preserve"> in the community</w:t>
      </w:r>
      <w:r w:rsidRPr="0063314D">
        <w:t>.</w:t>
      </w:r>
    </w:p>
    <w:p w14:paraId="1CA81847" w14:textId="0CA2C8E1" w:rsidR="00332FE7" w:rsidRPr="00332FE7" w:rsidRDefault="00D32AA3" w:rsidP="0006212B">
      <w:pPr>
        <w:spacing w:after="120"/>
        <w:ind w:firstLine="0"/>
        <w:contextualSpacing w:val="0"/>
        <w:jc w:val="center"/>
        <w:rPr>
          <w:b/>
          <w:bCs/>
        </w:rPr>
      </w:pPr>
      <w:r>
        <w:rPr>
          <w:b/>
          <w:bCs/>
        </w:rPr>
        <w:t>Conclusions</w:t>
      </w:r>
    </w:p>
    <w:p w14:paraId="7851C750" w14:textId="77DBB663" w:rsidR="00973C4B" w:rsidRDefault="00287F44" w:rsidP="0006212B">
      <w:pPr>
        <w:spacing w:after="120"/>
        <w:ind w:firstLine="0"/>
        <w:contextualSpacing w:val="0"/>
      </w:pPr>
      <w:r>
        <w:tab/>
        <w:t>There are consequences to ineffective health communication</w:t>
      </w:r>
      <w:r w:rsidR="00591962" w:rsidRPr="00591962">
        <w:t xml:space="preserve"> </w:t>
      </w:r>
      <w:r w:rsidR="00591962">
        <w:t>for underrepresented populations</w:t>
      </w:r>
      <w:r w:rsidR="00AC2991">
        <w:t xml:space="preserve">, including </w:t>
      </w:r>
      <w:r w:rsidR="00BA7010">
        <w:t>inadequate</w:t>
      </w:r>
      <w:r w:rsidR="00AC2991">
        <w:t xml:space="preserve"> </w:t>
      </w:r>
      <w:r w:rsidR="00BA7010">
        <w:t>scope</w:t>
      </w:r>
      <w:r w:rsidR="00AC2991">
        <w:t xml:space="preserve"> of research opportunities</w:t>
      </w:r>
      <w:r w:rsidR="00907801">
        <w:t xml:space="preserve"> and lack of research </w:t>
      </w:r>
      <w:r w:rsidR="00C348B9">
        <w:t>distribution</w:t>
      </w:r>
      <w:r w:rsidR="00907801">
        <w:t xml:space="preserve"> </w:t>
      </w:r>
      <w:r w:rsidR="00C348B9">
        <w:t>to group members.</w:t>
      </w:r>
      <w:r w:rsidR="00572D68">
        <w:t xml:space="preserve"> </w:t>
      </w:r>
      <w:r w:rsidR="00FC1584">
        <w:t>Exhibiting c</w:t>
      </w:r>
      <w:r w:rsidR="003F3C3C">
        <w:t xml:space="preserve">ultural competence, </w:t>
      </w:r>
      <w:r w:rsidR="00FF0AB3">
        <w:t xml:space="preserve">displaying honor </w:t>
      </w:r>
      <w:r w:rsidR="003F3C3C">
        <w:t>for</w:t>
      </w:r>
      <w:r w:rsidR="00FF0AB3">
        <w:t xml:space="preserve"> these</w:t>
      </w:r>
      <w:r w:rsidR="003F3C3C">
        <w:t xml:space="preserve"> communities, and </w:t>
      </w:r>
      <w:r w:rsidR="00FF0AB3">
        <w:t>demonstrating respect for their populations</w:t>
      </w:r>
      <w:r w:rsidR="00FC1584">
        <w:t xml:space="preserve"> </w:t>
      </w:r>
      <w:r w:rsidR="00111DF3">
        <w:t xml:space="preserve">is paramount. </w:t>
      </w:r>
      <w:r w:rsidR="00572D68">
        <w:t>Whenever possible, m</w:t>
      </w:r>
      <w:r w:rsidR="000A056C">
        <w:t>essaging should not only be targeted to certain groups but tailored to in-group individuals to increase understanding and response.</w:t>
      </w:r>
      <w:r w:rsidR="00572D68">
        <w:t xml:space="preserve"> </w:t>
      </w:r>
      <w:r w:rsidR="00F521B3">
        <w:t>Finally,</w:t>
      </w:r>
      <w:r w:rsidR="00533017" w:rsidRPr="00B8072C">
        <w:t xml:space="preserve"> health communication scholars must be willing and prepared—even eager—to respectfully address the concerns of all underserved and underrepresented groups</w:t>
      </w:r>
      <w:r w:rsidR="00F23AE3">
        <w:t xml:space="preserve"> </w:t>
      </w:r>
      <w:r w:rsidR="00533017" w:rsidRPr="00B8072C">
        <w:t xml:space="preserve">in efforts to increase the </w:t>
      </w:r>
      <w:r w:rsidR="00F6645C">
        <w:t>CT</w:t>
      </w:r>
      <w:r w:rsidR="00533017" w:rsidRPr="00B8072C">
        <w:t xml:space="preserve"> participation of these populations.</w:t>
      </w:r>
    </w:p>
    <w:p w14:paraId="021EDC04" w14:textId="77777777" w:rsidR="007D5420" w:rsidRDefault="007D5420" w:rsidP="0006212B">
      <w:pPr>
        <w:spacing w:after="120" w:line="240" w:lineRule="auto"/>
        <w:ind w:firstLine="0"/>
        <w:contextualSpacing w:val="0"/>
        <w:rPr>
          <w:b/>
          <w:bCs/>
        </w:rPr>
      </w:pPr>
      <w:r>
        <w:rPr>
          <w:b/>
          <w:bCs/>
        </w:rPr>
        <w:br w:type="page"/>
      </w:r>
    </w:p>
    <w:p w14:paraId="09EDF9D7" w14:textId="1D69E264" w:rsidR="00E14050" w:rsidRPr="003D493A" w:rsidRDefault="00BA1BCC" w:rsidP="0006212B">
      <w:pPr>
        <w:spacing w:after="120" w:line="240" w:lineRule="auto"/>
        <w:ind w:firstLine="0"/>
        <w:contextualSpacing w:val="0"/>
        <w:jc w:val="center"/>
        <w:rPr>
          <w:b/>
          <w:bCs/>
        </w:rPr>
      </w:pPr>
      <w:r w:rsidRPr="003D493A">
        <w:rPr>
          <w:b/>
          <w:bCs/>
        </w:rPr>
        <w:lastRenderedPageBreak/>
        <w:t>References</w:t>
      </w:r>
    </w:p>
    <w:p w14:paraId="789607F5" w14:textId="2695B431" w:rsidR="00375CF9" w:rsidRDefault="00375CF9" w:rsidP="0006212B">
      <w:pPr>
        <w:pStyle w:val="EndNoteBibliography"/>
        <w:spacing w:line="259" w:lineRule="auto"/>
        <w:ind w:left="720" w:hanging="720"/>
      </w:pPr>
      <w:r w:rsidRPr="00375CF9">
        <w:t xml:space="preserve">Arevalo, M., Heredia, N. I., Krasny, S., Rangel, M. L., Gatus, L. A., McNeill, L. H., &amp; Fernandez, M. E. (2016). Mexican-American </w:t>
      </w:r>
      <w:r w:rsidR="004F1C35">
        <w:t>p</w:t>
      </w:r>
      <w:r w:rsidRPr="00375CF9">
        <w:t xml:space="preserve">erspectives on </w:t>
      </w:r>
      <w:r w:rsidR="004F1C35">
        <w:t>p</w:t>
      </w:r>
      <w:r w:rsidRPr="00375CF9">
        <w:t xml:space="preserve">articipation in </w:t>
      </w:r>
      <w:r w:rsidR="004F1C35">
        <w:t>c</w:t>
      </w:r>
      <w:r w:rsidRPr="00375CF9">
        <w:t xml:space="preserve">linical </w:t>
      </w:r>
      <w:r w:rsidR="004F1C35">
        <w:t>t</w:t>
      </w:r>
      <w:r w:rsidRPr="00375CF9">
        <w:t xml:space="preserve">rials: A </w:t>
      </w:r>
      <w:r w:rsidR="004F1C35">
        <w:t>q</w:t>
      </w:r>
      <w:r w:rsidRPr="00375CF9">
        <w:t xml:space="preserve">ualitative </w:t>
      </w:r>
      <w:r w:rsidR="004F1C35">
        <w:t>s</w:t>
      </w:r>
      <w:r w:rsidRPr="00375CF9">
        <w:t xml:space="preserve">tudy. </w:t>
      </w:r>
      <w:r w:rsidRPr="00375CF9">
        <w:rPr>
          <w:i/>
        </w:rPr>
        <w:t xml:space="preserve">Contemporary </w:t>
      </w:r>
      <w:r w:rsidR="004F1C35">
        <w:rPr>
          <w:i/>
        </w:rPr>
        <w:t>C</w:t>
      </w:r>
      <w:r w:rsidRPr="00375CF9">
        <w:rPr>
          <w:i/>
        </w:rPr>
        <w:t xml:space="preserve">linical </w:t>
      </w:r>
      <w:r w:rsidR="004F1C35">
        <w:rPr>
          <w:i/>
        </w:rPr>
        <w:t>T</w:t>
      </w:r>
      <w:r w:rsidRPr="00375CF9">
        <w:rPr>
          <w:i/>
        </w:rPr>
        <w:t xml:space="preserve">rials </w:t>
      </w:r>
      <w:r w:rsidR="004F1C35">
        <w:rPr>
          <w:i/>
        </w:rPr>
        <w:t>C</w:t>
      </w:r>
      <w:r w:rsidRPr="00375CF9">
        <w:rPr>
          <w:i/>
        </w:rPr>
        <w:t>ommunications</w:t>
      </w:r>
      <w:r w:rsidRPr="00375CF9">
        <w:t>,</w:t>
      </w:r>
      <w:r w:rsidRPr="00375CF9">
        <w:rPr>
          <w:i/>
        </w:rPr>
        <w:t xml:space="preserve"> 4</w:t>
      </w:r>
      <w:r w:rsidRPr="00375CF9">
        <w:t xml:space="preserve">, 52-57. </w:t>
      </w:r>
      <w:hyperlink r:id="rId11" w:history="1">
        <w:r w:rsidR="00444BD9" w:rsidRPr="00AC26B1">
          <w:rPr>
            <w:rStyle w:val="Hyperlink"/>
          </w:rPr>
          <w:t>https://doi.org/10.1016/j.conctc.2016.06.009</w:t>
        </w:r>
      </w:hyperlink>
    </w:p>
    <w:p w14:paraId="3D5317EB" w14:textId="0101E412" w:rsidR="00375CF9" w:rsidRDefault="00375CF9" w:rsidP="0006212B">
      <w:pPr>
        <w:pStyle w:val="EndNoteBibliography"/>
        <w:spacing w:line="259" w:lineRule="auto"/>
        <w:ind w:left="720" w:hanging="720"/>
        <w:rPr>
          <w:rStyle w:val="Hyperlink"/>
        </w:rPr>
      </w:pPr>
      <w:r w:rsidRPr="00375CF9">
        <w:t xml:space="preserve">Clark, L. T., Watkins, L., Piña, I. L., Elmer, M., Akinboboye, O., Gorham, M., Jamerson, B., McCullough, C., Pierre, C., &amp; Polis, A. B. (2019). Increasing </w:t>
      </w:r>
      <w:r w:rsidR="00DB5875">
        <w:t>d</w:t>
      </w:r>
      <w:r w:rsidRPr="00375CF9">
        <w:t xml:space="preserve">iversity in </w:t>
      </w:r>
      <w:r w:rsidR="00DB5875">
        <w:t>c</w:t>
      </w:r>
      <w:r w:rsidRPr="00375CF9">
        <w:t xml:space="preserve">linical </w:t>
      </w:r>
      <w:r w:rsidR="00DB5875">
        <w:t>t</w:t>
      </w:r>
      <w:r w:rsidRPr="00375CF9">
        <w:t xml:space="preserve">rials: Overcoming </w:t>
      </w:r>
      <w:r w:rsidR="00DB5875">
        <w:t>c</w:t>
      </w:r>
      <w:r w:rsidRPr="00375CF9">
        <w:t xml:space="preserve">ritical </w:t>
      </w:r>
      <w:r w:rsidR="00DB5875">
        <w:t>b</w:t>
      </w:r>
      <w:r w:rsidRPr="00375CF9">
        <w:t xml:space="preserve">arriers. </w:t>
      </w:r>
      <w:r w:rsidRPr="00375CF9">
        <w:rPr>
          <w:i/>
        </w:rPr>
        <w:t xml:space="preserve">Current </w:t>
      </w:r>
      <w:r w:rsidR="00DB5875">
        <w:rPr>
          <w:i/>
        </w:rPr>
        <w:t>P</w:t>
      </w:r>
      <w:r w:rsidRPr="00375CF9">
        <w:rPr>
          <w:i/>
        </w:rPr>
        <w:t xml:space="preserve">roblems in </w:t>
      </w:r>
      <w:r w:rsidR="00DB5875">
        <w:rPr>
          <w:i/>
        </w:rPr>
        <w:t>C</w:t>
      </w:r>
      <w:r w:rsidRPr="00375CF9">
        <w:rPr>
          <w:i/>
        </w:rPr>
        <w:t>ardiology</w:t>
      </w:r>
      <w:r w:rsidRPr="00375CF9">
        <w:t>,</w:t>
      </w:r>
      <w:r w:rsidRPr="00375CF9">
        <w:rPr>
          <w:i/>
        </w:rPr>
        <w:t xml:space="preserve"> 44</w:t>
      </w:r>
      <w:r w:rsidRPr="00375CF9">
        <w:t xml:space="preserve">(5), 148-172. </w:t>
      </w:r>
      <w:hyperlink r:id="rId12" w:history="1">
        <w:r w:rsidR="009255D0" w:rsidRPr="00AC26B1">
          <w:rPr>
            <w:rStyle w:val="Hyperlink"/>
          </w:rPr>
          <w:t>https://doi.org/10.1016/j.cpcardiol.2018.11.002</w:t>
        </w:r>
      </w:hyperlink>
    </w:p>
    <w:p w14:paraId="7A98F559" w14:textId="71A11376" w:rsidR="00375CF9" w:rsidRDefault="00375CF9" w:rsidP="0006212B">
      <w:pPr>
        <w:pStyle w:val="EndNoteBibliography"/>
        <w:spacing w:line="259" w:lineRule="auto"/>
        <w:ind w:left="720" w:hanging="720"/>
      </w:pPr>
      <w:r w:rsidRPr="00375CF9">
        <w:t xml:space="preserve">Freedman, L. S., Simon, R., Foulkes, M. A., Friedman, L., Geller, N. L., Gordon, D. J., &amp; Mowery, R. (1995). Inclusion of </w:t>
      </w:r>
      <w:r w:rsidR="00DB5875">
        <w:t>w</w:t>
      </w:r>
      <w:r w:rsidRPr="00375CF9">
        <w:t xml:space="preserve">omen and </w:t>
      </w:r>
      <w:r w:rsidR="00DB5875">
        <w:t>m</w:t>
      </w:r>
      <w:r w:rsidRPr="00375CF9">
        <w:t xml:space="preserve">inorities in </w:t>
      </w:r>
      <w:r w:rsidR="00DB5875">
        <w:t>c</w:t>
      </w:r>
      <w:r w:rsidRPr="00375CF9">
        <w:t xml:space="preserve">linical </w:t>
      </w:r>
      <w:r w:rsidR="00DB5875">
        <w:t>t</w:t>
      </w:r>
      <w:r w:rsidRPr="00375CF9">
        <w:t>rials and the N</w:t>
      </w:r>
      <w:r w:rsidR="00FF08AC">
        <w:t>IH</w:t>
      </w:r>
      <w:r w:rsidRPr="00375CF9">
        <w:t xml:space="preserve"> Revitalization Act of 1993 - the </w:t>
      </w:r>
      <w:r w:rsidR="00FF08AC">
        <w:t>p</w:t>
      </w:r>
      <w:r w:rsidRPr="00375CF9">
        <w:t>erspective of N</w:t>
      </w:r>
      <w:r w:rsidR="00FF08AC">
        <w:t>IH</w:t>
      </w:r>
      <w:r w:rsidRPr="00375CF9">
        <w:t xml:space="preserve"> </w:t>
      </w:r>
      <w:r w:rsidR="00FF08AC">
        <w:t>c</w:t>
      </w:r>
      <w:r w:rsidRPr="00375CF9">
        <w:t xml:space="preserve">linical </w:t>
      </w:r>
      <w:r w:rsidR="00FF08AC">
        <w:t>t</w:t>
      </w:r>
      <w:r w:rsidRPr="00375CF9">
        <w:t xml:space="preserve">rialists. </w:t>
      </w:r>
      <w:r w:rsidRPr="00375CF9">
        <w:rPr>
          <w:i/>
        </w:rPr>
        <w:t xml:space="preserve">Controlled </w:t>
      </w:r>
      <w:r w:rsidR="00FF08AC">
        <w:rPr>
          <w:i/>
        </w:rPr>
        <w:t>C</w:t>
      </w:r>
      <w:r w:rsidRPr="00375CF9">
        <w:rPr>
          <w:i/>
        </w:rPr>
        <w:t xml:space="preserve">linical </w:t>
      </w:r>
      <w:r w:rsidR="00FF08AC">
        <w:rPr>
          <w:i/>
        </w:rPr>
        <w:t>T</w:t>
      </w:r>
      <w:r w:rsidRPr="00375CF9">
        <w:rPr>
          <w:i/>
        </w:rPr>
        <w:t>rials</w:t>
      </w:r>
      <w:r w:rsidRPr="00375CF9">
        <w:t>,</w:t>
      </w:r>
      <w:r w:rsidRPr="00375CF9">
        <w:rPr>
          <w:i/>
        </w:rPr>
        <w:t xml:space="preserve"> 16</w:t>
      </w:r>
      <w:r w:rsidRPr="00375CF9">
        <w:t xml:space="preserve">, 277-285. </w:t>
      </w:r>
      <w:hyperlink r:id="rId13" w:history="1">
        <w:r w:rsidR="00777516" w:rsidRPr="00AC26B1">
          <w:rPr>
            <w:rStyle w:val="Hyperlink"/>
          </w:rPr>
          <w:t>https://doi.org/10.1016/0197-2456(95)00048-8</w:t>
        </w:r>
      </w:hyperlink>
    </w:p>
    <w:p w14:paraId="444D71BB" w14:textId="74250925" w:rsidR="00375CF9" w:rsidRDefault="00375CF9" w:rsidP="0006212B">
      <w:pPr>
        <w:pStyle w:val="EndNoteBibliography"/>
        <w:spacing w:line="259" w:lineRule="auto"/>
        <w:ind w:left="720" w:hanging="720"/>
      </w:pPr>
      <w:r w:rsidRPr="00375CF9">
        <w:t xml:space="preserve">Friedman, D. B., Foster, C., Bergeron, C. D., Tanner, A., &amp; Kim, S.-H. (2015). A </w:t>
      </w:r>
      <w:r w:rsidR="00FF08AC">
        <w:t>q</w:t>
      </w:r>
      <w:r w:rsidRPr="00375CF9">
        <w:t xml:space="preserve">ualitative </w:t>
      </w:r>
      <w:r w:rsidR="00FF08AC">
        <w:t>s</w:t>
      </w:r>
      <w:r w:rsidRPr="00375CF9">
        <w:t xml:space="preserve">tudy of </w:t>
      </w:r>
      <w:r w:rsidR="00FF08AC">
        <w:t>r</w:t>
      </w:r>
      <w:r w:rsidRPr="00375CF9">
        <w:t xml:space="preserve">ecruitment </w:t>
      </w:r>
      <w:r w:rsidR="00FF08AC">
        <w:t>b</w:t>
      </w:r>
      <w:r w:rsidRPr="00375CF9">
        <w:t xml:space="preserve">arriers, </w:t>
      </w:r>
      <w:r w:rsidR="00FF08AC">
        <w:t>m</w:t>
      </w:r>
      <w:r w:rsidRPr="00375CF9">
        <w:t xml:space="preserve">otivators, and </w:t>
      </w:r>
      <w:r w:rsidR="00FF08AC">
        <w:t>c</w:t>
      </w:r>
      <w:r w:rsidRPr="00375CF9">
        <w:t>ommunity-</w:t>
      </w:r>
      <w:r w:rsidR="00FF08AC">
        <w:t>b</w:t>
      </w:r>
      <w:r w:rsidRPr="00375CF9">
        <w:t xml:space="preserve">ased </w:t>
      </w:r>
      <w:r w:rsidR="00FF08AC">
        <w:t>s</w:t>
      </w:r>
      <w:r w:rsidRPr="00375CF9">
        <w:t xml:space="preserve">trategies for </w:t>
      </w:r>
      <w:r w:rsidR="00FF08AC">
        <w:t>i</w:t>
      </w:r>
      <w:r w:rsidRPr="00375CF9">
        <w:t xml:space="preserve">ncreasing </w:t>
      </w:r>
      <w:r w:rsidR="00FF08AC">
        <w:t>c</w:t>
      </w:r>
      <w:r w:rsidRPr="00375CF9">
        <w:t xml:space="preserve">linical </w:t>
      </w:r>
      <w:r w:rsidR="00FF08AC">
        <w:t>t</w:t>
      </w:r>
      <w:r w:rsidRPr="00375CF9">
        <w:t xml:space="preserve">rials </w:t>
      </w:r>
      <w:r w:rsidR="00FF08AC">
        <w:t>p</w:t>
      </w:r>
      <w:r w:rsidRPr="00375CF9">
        <w:t xml:space="preserve">articipation among </w:t>
      </w:r>
      <w:r w:rsidR="00FF08AC">
        <w:t>r</w:t>
      </w:r>
      <w:r w:rsidRPr="00375CF9">
        <w:t xml:space="preserve">ural and </w:t>
      </w:r>
      <w:r w:rsidR="00FF08AC">
        <w:t>u</w:t>
      </w:r>
      <w:r w:rsidRPr="00375CF9">
        <w:t xml:space="preserve">rban </w:t>
      </w:r>
      <w:r w:rsidR="00FF08AC">
        <w:t>p</w:t>
      </w:r>
      <w:r w:rsidRPr="00375CF9">
        <w:t xml:space="preserve">opulations. </w:t>
      </w:r>
      <w:r w:rsidRPr="00375CF9">
        <w:rPr>
          <w:i/>
        </w:rPr>
        <w:t>American Journal of Health Promotion</w:t>
      </w:r>
      <w:r w:rsidRPr="00375CF9">
        <w:t>,</w:t>
      </w:r>
      <w:r w:rsidRPr="00375CF9">
        <w:rPr>
          <w:i/>
        </w:rPr>
        <w:t xml:space="preserve"> 29</w:t>
      </w:r>
      <w:r w:rsidRPr="00375CF9">
        <w:t xml:space="preserve">(5), 332-338. </w:t>
      </w:r>
      <w:hyperlink r:id="rId14" w:history="1">
        <w:r w:rsidR="000F2BF9" w:rsidRPr="00AC26B1">
          <w:rPr>
            <w:rStyle w:val="Hyperlink"/>
          </w:rPr>
          <w:t>https://doi.org/10.4278/ajhp.130514-QUAL-247</w:t>
        </w:r>
      </w:hyperlink>
    </w:p>
    <w:p w14:paraId="7041E3E4" w14:textId="19FC4924" w:rsidR="00375CF9" w:rsidRDefault="00375CF9" w:rsidP="0006212B">
      <w:pPr>
        <w:pStyle w:val="EndNoteBibliography"/>
        <w:spacing w:line="259" w:lineRule="auto"/>
        <w:ind w:left="720" w:hanging="720"/>
      </w:pPr>
      <w:r w:rsidRPr="00375CF9">
        <w:t>Lackman, M., Vickers, M. M., &amp; Hsu, T. (2020). Physician-</w:t>
      </w:r>
      <w:r w:rsidR="00FF08AC">
        <w:t>r</w:t>
      </w:r>
      <w:r w:rsidRPr="00375CF9">
        <w:t xml:space="preserve">eported </w:t>
      </w:r>
      <w:r w:rsidR="00FF08AC">
        <w:t>r</w:t>
      </w:r>
      <w:r w:rsidRPr="00375CF9">
        <w:t xml:space="preserve">easons for </w:t>
      </w:r>
      <w:r w:rsidR="00FF08AC">
        <w:t>n</w:t>
      </w:r>
      <w:r w:rsidRPr="00375CF9">
        <w:t>on-</w:t>
      </w:r>
      <w:r w:rsidR="00FF08AC">
        <w:t>e</w:t>
      </w:r>
      <w:r w:rsidRPr="00375CF9">
        <w:t xml:space="preserve">nrollment of </w:t>
      </w:r>
      <w:r w:rsidR="00FF08AC">
        <w:t>o</w:t>
      </w:r>
      <w:r w:rsidRPr="00375CF9">
        <w:t xml:space="preserve">lder </w:t>
      </w:r>
      <w:r w:rsidR="00FF08AC">
        <w:t>a</w:t>
      </w:r>
      <w:r w:rsidRPr="00375CF9">
        <w:t xml:space="preserve">dults in </w:t>
      </w:r>
      <w:r w:rsidR="00FF08AC">
        <w:t>c</w:t>
      </w:r>
      <w:r w:rsidRPr="00375CF9">
        <w:t xml:space="preserve">ancer </w:t>
      </w:r>
      <w:r w:rsidR="00FF08AC">
        <w:t>c</w:t>
      </w:r>
      <w:r w:rsidRPr="00375CF9">
        <w:t xml:space="preserve">linical </w:t>
      </w:r>
      <w:r w:rsidR="00FF08AC">
        <w:t>t</w:t>
      </w:r>
      <w:r w:rsidRPr="00375CF9">
        <w:t xml:space="preserve">rials. </w:t>
      </w:r>
      <w:r w:rsidRPr="00375CF9">
        <w:rPr>
          <w:i/>
        </w:rPr>
        <w:t xml:space="preserve">Journal of </w:t>
      </w:r>
      <w:r w:rsidR="00FF08AC">
        <w:rPr>
          <w:i/>
        </w:rPr>
        <w:t>G</w:t>
      </w:r>
      <w:r w:rsidRPr="00375CF9">
        <w:rPr>
          <w:i/>
        </w:rPr>
        <w:t xml:space="preserve">eriatric </w:t>
      </w:r>
      <w:r w:rsidR="00FF08AC">
        <w:rPr>
          <w:i/>
        </w:rPr>
        <w:t>O</w:t>
      </w:r>
      <w:r w:rsidRPr="00375CF9">
        <w:rPr>
          <w:i/>
        </w:rPr>
        <w:t>ncology</w:t>
      </w:r>
      <w:r w:rsidRPr="00375CF9">
        <w:t>,</w:t>
      </w:r>
      <w:r w:rsidRPr="00375CF9">
        <w:rPr>
          <w:i/>
        </w:rPr>
        <w:t xml:space="preserve"> 11</w:t>
      </w:r>
      <w:r w:rsidRPr="00375CF9">
        <w:t xml:space="preserve">(1), 31-36. </w:t>
      </w:r>
    </w:p>
    <w:p w14:paraId="6554152B" w14:textId="02AE72AD" w:rsidR="00375CF9" w:rsidRDefault="00375CF9" w:rsidP="0006212B">
      <w:pPr>
        <w:pStyle w:val="EndNoteBibliography"/>
        <w:spacing w:line="259" w:lineRule="auto"/>
        <w:ind w:left="720" w:hanging="720"/>
      </w:pPr>
      <w:r w:rsidRPr="00375CF9">
        <w:t xml:space="preserve">Morgan, S. E., Occa, A., Potter, J., Mouton, A., &amp; Peter, M. E. (2017). “You </w:t>
      </w:r>
      <w:r w:rsidR="00FF08AC">
        <w:t>n</w:t>
      </w:r>
      <w:r w:rsidRPr="00375CF9">
        <w:t xml:space="preserve">eed to </w:t>
      </w:r>
      <w:r w:rsidR="00FF08AC">
        <w:t>b</w:t>
      </w:r>
      <w:r w:rsidRPr="00375CF9">
        <w:t xml:space="preserve">e a </w:t>
      </w:r>
      <w:r w:rsidR="00FF08AC">
        <w:t>g</w:t>
      </w:r>
      <w:r w:rsidRPr="00375CF9">
        <w:t xml:space="preserve">ood </w:t>
      </w:r>
      <w:r w:rsidR="00FF08AC">
        <w:t>l</w:t>
      </w:r>
      <w:r w:rsidRPr="00375CF9">
        <w:t xml:space="preserve">istener”: Recruiters’ </w:t>
      </w:r>
      <w:r w:rsidR="00FF08AC">
        <w:t>u</w:t>
      </w:r>
      <w:r w:rsidRPr="00375CF9">
        <w:t xml:space="preserve">se of </w:t>
      </w:r>
      <w:r w:rsidR="00FF08AC">
        <w:t>r</w:t>
      </w:r>
      <w:r w:rsidRPr="00375CF9">
        <w:t xml:space="preserve">elational </w:t>
      </w:r>
      <w:r w:rsidR="00FF08AC">
        <w:t>c</w:t>
      </w:r>
      <w:r w:rsidRPr="00375CF9">
        <w:t xml:space="preserve">ommunication </w:t>
      </w:r>
      <w:r w:rsidR="00FF08AC">
        <w:t>b</w:t>
      </w:r>
      <w:r w:rsidRPr="00375CF9">
        <w:t xml:space="preserve">ehaviors to </w:t>
      </w:r>
      <w:r w:rsidR="00FF08AC">
        <w:t>e</w:t>
      </w:r>
      <w:r w:rsidRPr="00375CF9">
        <w:t xml:space="preserve">nhance </w:t>
      </w:r>
      <w:r w:rsidR="00FF08AC">
        <w:t>e</w:t>
      </w:r>
      <w:r w:rsidRPr="00375CF9">
        <w:t xml:space="preserve">linical </w:t>
      </w:r>
      <w:r w:rsidR="00FF08AC">
        <w:t>t</w:t>
      </w:r>
      <w:r w:rsidRPr="00375CF9">
        <w:t xml:space="preserve">rial and </w:t>
      </w:r>
      <w:r w:rsidR="00FF08AC">
        <w:t>r</w:t>
      </w:r>
      <w:r w:rsidRPr="00375CF9">
        <w:t xml:space="preserve">esearch </w:t>
      </w:r>
      <w:r w:rsidR="00FF08AC">
        <w:t>s</w:t>
      </w:r>
      <w:r w:rsidRPr="00375CF9">
        <w:t xml:space="preserve">tudy </w:t>
      </w:r>
      <w:r w:rsidR="00FF08AC">
        <w:t>a</w:t>
      </w:r>
      <w:r w:rsidRPr="00375CF9">
        <w:t xml:space="preserve">ccrual. </w:t>
      </w:r>
      <w:r w:rsidRPr="00375CF9">
        <w:rPr>
          <w:i/>
        </w:rPr>
        <w:t>Journal of Health Communication</w:t>
      </w:r>
      <w:r w:rsidRPr="00375CF9">
        <w:t>,</w:t>
      </w:r>
      <w:r w:rsidRPr="00375CF9">
        <w:rPr>
          <w:i/>
        </w:rPr>
        <w:t xml:space="preserve"> 22</w:t>
      </w:r>
      <w:r w:rsidRPr="00375CF9">
        <w:t>(2), 95-101.</w:t>
      </w:r>
      <w:r w:rsidR="00FE0F77">
        <w:t xml:space="preserve"> </w:t>
      </w:r>
      <w:hyperlink r:id="rId15" w:history="1">
        <w:r w:rsidR="00FE0F77" w:rsidRPr="00AC26B1">
          <w:rPr>
            <w:rStyle w:val="Hyperlink"/>
          </w:rPr>
          <w:t>https://doi.org/10.1080/10810730.2016.1256356</w:t>
        </w:r>
      </w:hyperlink>
    </w:p>
    <w:p w14:paraId="7F3CF493" w14:textId="0EEE8468" w:rsidR="000F6653" w:rsidRDefault="000F6653" w:rsidP="0006212B">
      <w:pPr>
        <w:pStyle w:val="EndNoteBibliography"/>
        <w:ind w:left="720" w:hanging="720"/>
      </w:pPr>
      <w:r w:rsidRPr="00BA6394">
        <w:t xml:space="preserve">Nazha, B., Mishra, M., Pentz, R., &amp; Owonikoko, T. K. (2019). Enrollment of racial minorities in clinical trials: Old problem assumes new urgency in the age of immunotherapy. </w:t>
      </w:r>
      <w:r w:rsidRPr="00BA6394">
        <w:rPr>
          <w:i/>
        </w:rPr>
        <w:t>American Society of Clinical Oncology Educational Book</w:t>
      </w:r>
      <w:r w:rsidRPr="00BA6394">
        <w:t>,</w:t>
      </w:r>
      <w:r w:rsidRPr="00BA6394">
        <w:rPr>
          <w:i/>
        </w:rPr>
        <w:t xml:space="preserve"> 39</w:t>
      </w:r>
      <w:r w:rsidRPr="00BA6394">
        <w:t xml:space="preserve">, 3-10. </w:t>
      </w:r>
      <w:hyperlink r:id="rId16" w:history="1">
        <w:r w:rsidR="005762E2" w:rsidRPr="00F01C8D">
          <w:rPr>
            <w:rStyle w:val="Hyperlink"/>
          </w:rPr>
          <w:t>https://doi.org/10.1200/EDBK_100021</w:t>
        </w:r>
      </w:hyperlink>
    </w:p>
    <w:p w14:paraId="2E87BBF0" w14:textId="7821C69D" w:rsidR="00375CF9" w:rsidRDefault="00375CF9" w:rsidP="0006212B">
      <w:pPr>
        <w:pStyle w:val="EndNoteBibliography"/>
        <w:spacing w:line="259" w:lineRule="auto"/>
        <w:ind w:left="720" w:hanging="720"/>
      </w:pPr>
      <w:r w:rsidRPr="00375CF9">
        <w:t xml:space="preserve">Ridley-Merriweather, K. E., Owusu, R. K., &amp; Hoffmann-Longtin, K. (2020). Exploring </w:t>
      </w:r>
      <w:r w:rsidR="00014CEA">
        <w:t>h</w:t>
      </w:r>
      <w:r w:rsidRPr="00375CF9">
        <w:t xml:space="preserve">ow the </w:t>
      </w:r>
      <w:r w:rsidR="00014CEA">
        <w:t>t</w:t>
      </w:r>
      <w:r w:rsidRPr="00375CF9">
        <w:t xml:space="preserve">erms “Black” and “African American” </w:t>
      </w:r>
      <w:r w:rsidR="00014CEA">
        <w:t>m</w:t>
      </w:r>
      <w:r w:rsidRPr="00375CF9">
        <w:t xml:space="preserve">ay </w:t>
      </w:r>
      <w:r w:rsidR="00014CEA">
        <w:t>s</w:t>
      </w:r>
      <w:r w:rsidRPr="00375CF9">
        <w:t xml:space="preserve">hape </w:t>
      </w:r>
      <w:r w:rsidR="00014CEA">
        <w:t>h</w:t>
      </w:r>
      <w:r w:rsidRPr="00375CF9">
        <w:t xml:space="preserve">ealth </w:t>
      </w:r>
      <w:r w:rsidR="00014CEA">
        <w:t>c</w:t>
      </w:r>
      <w:r w:rsidRPr="00375CF9">
        <w:t xml:space="preserve">ommunication </w:t>
      </w:r>
      <w:r w:rsidR="00014CEA">
        <w:t>r</w:t>
      </w:r>
      <w:r w:rsidRPr="00375CF9">
        <w:t xml:space="preserve">esearch [Manuscript Submitted for Publication]. </w:t>
      </w:r>
      <w:r w:rsidRPr="00375CF9">
        <w:rPr>
          <w:i/>
        </w:rPr>
        <w:t xml:space="preserve">Health </w:t>
      </w:r>
      <w:r w:rsidR="00014CEA">
        <w:rPr>
          <w:i/>
        </w:rPr>
        <w:t>C</w:t>
      </w:r>
      <w:r w:rsidRPr="00375CF9">
        <w:rPr>
          <w:i/>
        </w:rPr>
        <w:t>ommunication</w:t>
      </w:r>
      <w:r w:rsidRPr="00375CF9">
        <w:t xml:space="preserve">. </w:t>
      </w:r>
    </w:p>
    <w:p w14:paraId="73B0234C" w14:textId="1F70AA8C" w:rsidR="00AF0A95" w:rsidRDefault="00AF0A95" w:rsidP="0006212B">
      <w:pPr>
        <w:pStyle w:val="EndNoteBibliography"/>
        <w:spacing w:line="259" w:lineRule="auto"/>
        <w:ind w:left="720" w:hanging="720"/>
      </w:pPr>
      <w:r w:rsidRPr="00AF0A95">
        <w:t>Rosa, W. E., Moreland, P. J., &amp; Hughes, T. L. (2020). Global health equity for LGBTQ people and populations. Health equity and nursing: achieving equity through policy, population health, and interprofessional collaboration. Springer Publishing, 159-80.</w:t>
      </w:r>
    </w:p>
    <w:p w14:paraId="335CE24F" w14:textId="4AD8B7FA" w:rsidR="000A7EF8" w:rsidRDefault="000A7EF8" w:rsidP="0006212B">
      <w:pPr>
        <w:pStyle w:val="EndNoteBibliography"/>
        <w:ind w:left="720" w:hanging="720"/>
      </w:pPr>
      <w:r w:rsidRPr="00C93949">
        <w:t xml:space="preserve">U.S. Food &amp; Drug Administration. (2021). </w:t>
      </w:r>
      <w:r w:rsidRPr="00C93949">
        <w:rPr>
          <w:i/>
        </w:rPr>
        <w:t>2015–2019 drug trials snapshot summary report: Five year summary and analysis of clinical trial participation and demographics</w:t>
      </w:r>
      <w:r w:rsidR="00994FD4">
        <w:rPr>
          <w:i/>
        </w:rPr>
        <w:t>.</w:t>
      </w:r>
      <w:r w:rsidRPr="00C93949">
        <w:rPr>
          <w:i/>
        </w:rPr>
        <w:t xml:space="preserve"> </w:t>
      </w:r>
      <w:hyperlink r:id="rId17" w:history="1">
        <w:r w:rsidRPr="00E63DAD">
          <w:rPr>
            <w:rStyle w:val="Hyperlink"/>
          </w:rPr>
          <w:t>https://www.fda.gov/media/143592/download</w:t>
        </w:r>
      </w:hyperlink>
    </w:p>
    <w:p w14:paraId="7716D9E5" w14:textId="77777777" w:rsidR="00AF0A95" w:rsidRDefault="00AF0A95" w:rsidP="0006212B">
      <w:pPr>
        <w:pStyle w:val="EndNoteBibliography"/>
        <w:ind w:left="720" w:hanging="720"/>
      </w:pPr>
    </w:p>
    <w:p w14:paraId="06E409EB" w14:textId="77777777" w:rsidR="005C2852" w:rsidRPr="003D493A" w:rsidRDefault="005C2852" w:rsidP="0006212B">
      <w:pPr>
        <w:spacing w:after="120"/>
        <w:ind w:firstLine="0"/>
        <w:contextualSpacing w:val="0"/>
        <w:jc w:val="center"/>
        <w:rPr>
          <w:b/>
          <w:bCs/>
        </w:rPr>
      </w:pPr>
      <w:r w:rsidRPr="003D493A">
        <w:rPr>
          <w:b/>
          <w:bCs/>
        </w:rPr>
        <w:t>Further Reading</w:t>
      </w:r>
    </w:p>
    <w:p w14:paraId="755D36D0" w14:textId="77777777" w:rsidR="005C2852" w:rsidRDefault="005C2852" w:rsidP="0006212B">
      <w:pPr>
        <w:spacing w:after="120"/>
        <w:ind w:left="720" w:hanging="720"/>
        <w:contextualSpacing w:val="0"/>
      </w:pPr>
      <w:proofErr w:type="spellStart"/>
      <w:r w:rsidRPr="00755371">
        <w:t>Ejiogu</w:t>
      </w:r>
      <w:proofErr w:type="spellEnd"/>
      <w:r w:rsidRPr="00755371">
        <w:t xml:space="preserve">, N., </w:t>
      </w:r>
      <w:proofErr w:type="spellStart"/>
      <w:r w:rsidRPr="00755371">
        <w:t>Norbeck</w:t>
      </w:r>
      <w:proofErr w:type="spellEnd"/>
      <w:r w:rsidRPr="00755371">
        <w:t xml:space="preserve">, J. H., Mason, M. A., Cromwell, B. C., </w:t>
      </w:r>
      <w:proofErr w:type="spellStart"/>
      <w:r w:rsidRPr="00755371">
        <w:t>Zonderman</w:t>
      </w:r>
      <w:proofErr w:type="spellEnd"/>
      <w:r w:rsidRPr="00755371">
        <w:t xml:space="preserve">, A. B., &amp; Evans, M. K. (2011). Recruitment and retention strategies for minority or poor clinical research participants: </w:t>
      </w:r>
      <w:r>
        <w:t>L</w:t>
      </w:r>
      <w:r w:rsidRPr="00755371">
        <w:t xml:space="preserve">essons from the Healthy Aging in Neighborhoods of Diversity across the Life Span study. The Gerontologist, 51(suppl_1), S33-S45. </w:t>
      </w:r>
      <w:hyperlink r:id="rId18" w:history="1">
        <w:r w:rsidRPr="002B5B7F">
          <w:rPr>
            <w:rStyle w:val="Hyperlink"/>
          </w:rPr>
          <w:t>https://doi.org/10.1093/geront/gnr027</w:t>
        </w:r>
      </w:hyperlink>
    </w:p>
    <w:p w14:paraId="140CBD7B" w14:textId="77777777" w:rsidR="005C2852" w:rsidRDefault="005C2852" w:rsidP="0006212B">
      <w:pPr>
        <w:spacing w:after="120"/>
        <w:ind w:left="720" w:hanging="720"/>
        <w:contextualSpacing w:val="0"/>
        <w:rPr>
          <w:rStyle w:val="Hyperlink"/>
        </w:rPr>
      </w:pPr>
      <w:proofErr w:type="spellStart"/>
      <w:r w:rsidRPr="00680A01">
        <w:lastRenderedPageBreak/>
        <w:t>Erves</w:t>
      </w:r>
      <w:proofErr w:type="spellEnd"/>
      <w:r w:rsidRPr="00680A01">
        <w:t xml:space="preserve">, J. C., Mayo-Gamble, T. L., </w:t>
      </w:r>
      <w:proofErr w:type="spellStart"/>
      <w:r w:rsidRPr="00680A01">
        <w:t>Malin</w:t>
      </w:r>
      <w:proofErr w:type="spellEnd"/>
      <w:r w:rsidRPr="00680A01">
        <w:t xml:space="preserve">-Fair, A., Boyer, A., Joosten, Y., Vaughn, Y. C., </w:t>
      </w:r>
      <w:proofErr w:type="spellStart"/>
      <w:r>
        <w:t>Sherdan</w:t>
      </w:r>
      <w:proofErr w:type="spellEnd"/>
      <w:r>
        <w:t xml:space="preserve">, L., Luther, P., Miller, S., </w:t>
      </w:r>
      <w:r w:rsidRPr="00680A01">
        <w:t xml:space="preserve">&amp; Wilkins, C. H. (2017). Needs, priorities, and recommendations for engaging underrepresented populations in clinical research: a community perspective. </w:t>
      </w:r>
      <w:r w:rsidRPr="0033629C">
        <w:rPr>
          <w:i/>
          <w:iCs/>
        </w:rPr>
        <w:t>Journal of Community Health, 42</w:t>
      </w:r>
      <w:r w:rsidRPr="00680A01">
        <w:t>(3), 472-480.</w:t>
      </w:r>
      <w:r>
        <w:t xml:space="preserve"> </w:t>
      </w:r>
      <w:hyperlink r:id="rId19" w:history="1">
        <w:r w:rsidRPr="00F86D16">
          <w:rPr>
            <w:rStyle w:val="Hyperlink"/>
          </w:rPr>
          <w:t>https://doi.org/10.1007/s10900-016-0279-2</w:t>
        </w:r>
      </w:hyperlink>
    </w:p>
    <w:p w14:paraId="47CDCB29" w14:textId="77777777" w:rsidR="005C2852" w:rsidRDefault="005C2852" w:rsidP="0006212B">
      <w:pPr>
        <w:spacing w:after="120"/>
        <w:ind w:left="720" w:hanging="720"/>
        <w:contextualSpacing w:val="0"/>
      </w:pPr>
      <w:r w:rsidRPr="009D0B59">
        <w:t xml:space="preserve">Heller, C., Balls-Berry, J. E., Nery, J. D., Erwin, P. J., Littleton, D., Kim, M., &amp; </w:t>
      </w:r>
      <w:proofErr w:type="spellStart"/>
      <w:r w:rsidRPr="009D0B59">
        <w:t>Kuo</w:t>
      </w:r>
      <w:proofErr w:type="spellEnd"/>
      <w:r w:rsidRPr="009D0B59">
        <w:t>, W. P. (2014). Strategies addressing barriers to clinical trial enrollment of underrepresented populations: a systematic review. Contemporary clinical trials, 39(2), 169-182.</w:t>
      </w:r>
      <w:r>
        <w:t xml:space="preserve"> </w:t>
      </w:r>
      <w:hyperlink r:id="rId20" w:history="1">
        <w:r w:rsidRPr="006E365A">
          <w:rPr>
            <w:rStyle w:val="Hyperlink"/>
          </w:rPr>
          <w:t>https://doi.org/10.1016/j.cct.2014.08.004</w:t>
        </w:r>
      </w:hyperlink>
    </w:p>
    <w:p w14:paraId="6C49EA45" w14:textId="77777777" w:rsidR="00951EDC" w:rsidRDefault="00951EDC" w:rsidP="0006212B">
      <w:pPr>
        <w:pStyle w:val="EndNoteBibliography"/>
        <w:spacing w:line="259" w:lineRule="auto"/>
        <w:ind w:left="720" w:hanging="720"/>
        <w:jc w:val="center"/>
        <w:rPr>
          <w:b/>
          <w:bCs/>
        </w:rPr>
      </w:pPr>
    </w:p>
    <w:p w14:paraId="023CB67A" w14:textId="5F662297" w:rsidR="005C2852" w:rsidRPr="003D493A" w:rsidRDefault="000B23A8" w:rsidP="0006212B">
      <w:pPr>
        <w:pStyle w:val="EndNoteBibliography"/>
        <w:spacing w:line="259" w:lineRule="auto"/>
        <w:ind w:left="720" w:hanging="720"/>
        <w:jc w:val="center"/>
        <w:rPr>
          <w:b/>
          <w:bCs/>
        </w:rPr>
      </w:pPr>
      <w:r w:rsidRPr="003D493A">
        <w:rPr>
          <w:b/>
          <w:bCs/>
        </w:rPr>
        <w:t>Cross References</w:t>
      </w:r>
    </w:p>
    <w:p w14:paraId="596255FF" w14:textId="322A8E1E" w:rsidR="00CD4AFB" w:rsidRDefault="00A52BB1" w:rsidP="0006212B">
      <w:pPr>
        <w:pStyle w:val="EndNoteBibliography"/>
        <w:spacing w:line="259" w:lineRule="auto"/>
        <w:ind w:left="720" w:hanging="720"/>
      </w:pPr>
      <w:r>
        <w:t>See Also</w:t>
      </w:r>
    </w:p>
    <w:p w14:paraId="6F25FBE1" w14:textId="68D529E7" w:rsidR="008133BC" w:rsidRPr="00535B78" w:rsidRDefault="16890773" w:rsidP="0006212B">
      <w:pPr>
        <w:pStyle w:val="EndNoteBibliography"/>
        <w:spacing w:line="259" w:lineRule="auto"/>
        <w:ind w:left="720" w:hanging="720"/>
      </w:pPr>
      <w:r>
        <w:t>IEHC0543</w:t>
      </w:r>
    </w:p>
    <w:p w14:paraId="4A26D2B6" w14:textId="366DEE2C" w:rsidR="008133BC" w:rsidRPr="00535B78" w:rsidRDefault="16890773" w:rsidP="0006212B">
      <w:pPr>
        <w:pStyle w:val="EndNoteBibliography"/>
        <w:spacing w:line="259" w:lineRule="auto"/>
        <w:ind w:left="720" w:hanging="720"/>
      </w:pPr>
      <w:r>
        <w:t>IEHC0785</w:t>
      </w:r>
    </w:p>
    <w:p w14:paraId="0B2F4B72" w14:textId="5ED54002" w:rsidR="008133BC" w:rsidRPr="00535B78" w:rsidRDefault="16890773" w:rsidP="0006212B">
      <w:pPr>
        <w:pStyle w:val="EndNoteBibliography"/>
        <w:spacing w:line="259" w:lineRule="auto"/>
        <w:ind w:left="720" w:hanging="720"/>
      </w:pPr>
      <w:r>
        <w:t>IEHC0825</w:t>
      </w:r>
    </w:p>
    <w:p w14:paraId="7443B2AA" w14:textId="71CE5645" w:rsidR="008133BC" w:rsidRPr="00535B78" w:rsidRDefault="16890773" w:rsidP="0006212B">
      <w:pPr>
        <w:pStyle w:val="EndNoteBibliography"/>
        <w:spacing w:line="259" w:lineRule="auto"/>
        <w:ind w:left="720" w:hanging="720"/>
      </w:pPr>
      <w:r>
        <w:t>IEHC0826</w:t>
      </w:r>
    </w:p>
    <w:p w14:paraId="06427FFD" w14:textId="4A792CA4" w:rsidR="008133BC" w:rsidRPr="00535B78" w:rsidRDefault="16890773" w:rsidP="0006212B">
      <w:pPr>
        <w:pStyle w:val="EndNoteBibliography"/>
        <w:spacing w:line="259" w:lineRule="auto"/>
        <w:ind w:left="720" w:hanging="720"/>
      </w:pPr>
      <w:r>
        <w:t>IEHC0845</w:t>
      </w:r>
    </w:p>
    <w:p w14:paraId="55842043" w14:textId="7FBB034A" w:rsidR="008133BC" w:rsidRPr="00535B78" w:rsidRDefault="16890773" w:rsidP="0006212B">
      <w:pPr>
        <w:pStyle w:val="EndNoteBibliography"/>
        <w:spacing w:line="259" w:lineRule="auto"/>
        <w:ind w:left="720" w:hanging="720"/>
      </w:pPr>
      <w:r>
        <w:t>IEHC0849</w:t>
      </w:r>
    </w:p>
    <w:p w14:paraId="2815E0DB" w14:textId="169E3070" w:rsidR="008133BC" w:rsidRPr="00535B78" w:rsidRDefault="16890773" w:rsidP="0006212B">
      <w:pPr>
        <w:pStyle w:val="EndNoteBibliography"/>
        <w:spacing w:line="259" w:lineRule="auto"/>
        <w:ind w:left="720" w:hanging="720"/>
      </w:pPr>
      <w:r>
        <w:t>IEHC0865</w:t>
      </w:r>
    </w:p>
    <w:p w14:paraId="11538611" w14:textId="226A9AFE" w:rsidR="008133BC" w:rsidRPr="00535B78" w:rsidRDefault="16890773" w:rsidP="0006212B">
      <w:pPr>
        <w:pStyle w:val="EndNoteBibliography"/>
        <w:spacing w:line="259" w:lineRule="auto"/>
        <w:ind w:left="720" w:hanging="720"/>
      </w:pPr>
      <w:r>
        <w:t>IEHC0870</w:t>
      </w:r>
    </w:p>
    <w:p w14:paraId="6F0E92D2" w14:textId="6B276833" w:rsidR="008133BC" w:rsidRPr="00535B78" w:rsidRDefault="16890773" w:rsidP="0006212B">
      <w:pPr>
        <w:pStyle w:val="EndNoteBibliography"/>
        <w:spacing w:line="259" w:lineRule="auto"/>
        <w:ind w:left="720" w:hanging="720"/>
      </w:pPr>
      <w:r>
        <w:t>IEHC0981</w:t>
      </w:r>
    </w:p>
    <w:p w14:paraId="7DB4FC64" w14:textId="23258A38" w:rsidR="008133BC" w:rsidRPr="00535B78" w:rsidRDefault="16890773" w:rsidP="0006212B">
      <w:pPr>
        <w:pStyle w:val="EndNoteBibliography"/>
        <w:spacing w:line="259" w:lineRule="auto"/>
        <w:ind w:left="720" w:hanging="720"/>
      </w:pPr>
      <w:r>
        <w:t>IEHC0993</w:t>
      </w:r>
    </w:p>
    <w:p w14:paraId="17E75A8C" w14:textId="7A15F596" w:rsidR="008133BC" w:rsidRPr="00535B78" w:rsidRDefault="008133BC" w:rsidP="0006212B">
      <w:pPr>
        <w:pStyle w:val="EndNoteBibliography"/>
        <w:spacing w:line="259" w:lineRule="auto"/>
        <w:ind w:left="720" w:hanging="720"/>
      </w:pPr>
    </w:p>
    <w:p w14:paraId="27E365E8" w14:textId="77777777" w:rsidR="005D0450" w:rsidRDefault="005D0450" w:rsidP="0006212B">
      <w:pPr>
        <w:pStyle w:val="EndNoteBibliography"/>
        <w:spacing w:line="259" w:lineRule="auto"/>
        <w:ind w:left="720" w:hanging="720"/>
      </w:pPr>
    </w:p>
    <w:p w14:paraId="187A8621" w14:textId="77777777" w:rsidR="005D0450" w:rsidRDefault="005D0450" w:rsidP="0006212B">
      <w:pPr>
        <w:pStyle w:val="EndNoteBibliography"/>
        <w:spacing w:line="259" w:lineRule="auto"/>
        <w:ind w:left="720" w:hanging="720"/>
      </w:pPr>
    </w:p>
    <w:p w14:paraId="66344C40" w14:textId="15996D9A" w:rsidR="00DD1C6D" w:rsidRDefault="00DD1C6D" w:rsidP="0006212B">
      <w:pPr>
        <w:spacing w:after="120" w:line="240" w:lineRule="auto"/>
        <w:ind w:firstLine="0"/>
        <w:contextualSpacing w:val="0"/>
        <w:rPr>
          <w:noProof/>
        </w:rPr>
      </w:pPr>
      <w:r>
        <w:br w:type="page"/>
      </w:r>
    </w:p>
    <w:tbl>
      <w:tblPr>
        <w:tblW w:w="8880" w:type="dxa"/>
        <w:tblLook w:val="04A0" w:firstRow="1" w:lastRow="0" w:firstColumn="1" w:lastColumn="0" w:noHBand="0" w:noVBand="1"/>
      </w:tblPr>
      <w:tblGrid>
        <w:gridCol w:w="4280"/>
        <w:gridCol w:w="320"/>
        <w:gridCol w:w="4280"/>
      </w:tblGrid>
      <w:tr w:rsidR="00C82EF3" w:rsidRPr="00C82EF3" w14:paraId="6B64A901" w14:textId="77777777" w:rsidTr="00C82EF3">
        <w:trPr>
          <w:trHeight w:val="600"/>
        </w:trPr>
        <w:tc>
          <w:tcPr>
            <w:tcW w:w="4280" w:type="dxa"/>
            <w:tcBorders>
              <w:top w:val="nil"/>
              <w:left w:val="nil"/>
              <w:bottom w:val="single" w:sz="4" w:space="0" w:color="auto"/>
              <w:right w:val="nil"/>
            </w:tcBorders>
            <w:shd w:val="clear" w:color="auto" w:fill="auto"/>
            <w:vAlign w:val="bottom"/>
            <w:hideMark/>
          </w:tcPr>
          <w:p w14:paraId="717D4A12" w14:textId="77777777" w:rsidR="00C82EF3" w:rsidRPr="00C82EF3" w:rsidRDefault="00C82EF3" w:rsidP="0006212B">
            <w:pPr>
              <w:spacing w:line="240" w:lineRule="auto"/>
              <w:ind w:firstLine="0"/>
              <w:contextualSpacing w:val="0"/>
              <w:rPr>
                <w:rFonts w:eastAsia="Times New Roman"/>
                <w:color w:val="000000"/>
                <w:sz w:val="22"/>
              </w:rPr>
            </w:pPr>
            <w:r w:rsidRPr="00C82EF3">
              <w:rPr>
                <w:rFonts w:eastAsia="Times New Roman"/>
                <w:b/>
                <w:bCs/>
                <w:color w:val="000000"/>
                <w:sz w:val="22"/>
              </w:rPr>
              <w:lastRenderedPageBreak/>
              <w:t>Table 1</w:t>
            </w:r>
            <w:r w:rsidRPr="00C82EF3">
              <w:rPr>
                <w:rFonts w:eastAsia="Times New Roman"/>
                <w:color w:val="000000"/>
                <w:sz w:val="22"/>
              </w:rPr>
              <w:br/>
            </w:r>
            <w:r w:rsidRPr="00C82EF3">
              <w:rPr>
                <w:rFonts w:eastAsia="Times New Roman"/>
                <w:i/>
                <w:iCs/>
                <w:color w:val="000000"/>
                <w:sz w:val="22"/>
              </w:rPr>
              <w:t>Strategies and Suggested Theories</w:t>
            </w:r>
          </w:p>
        </w:tc>
        <w:tc>
          <w:tcPr>
            <w:tcW w:w="320" w:type="dxa"/>
            <w:tcBorders>
              <w:top w:val="nil"/>
              <w:left w:val="nil"/>
              <w:bottom w:val="single" w:sz="4" w:space="0" w:color="auto"/>
              <w:right w:val="nil"/>
            </w:tcBorders>
            <w:shd w:val="clear" w:color="auto" w:fill="auto"/>
            <w:vAlign w:val="bottom"/>
            <w:hideMark/>
          </w:tcPr>
          <w:p w14:paraId="6E8F7CD6" w14:textId="77777777" w:rsidR="00C82EF3" w:rsidRPr="00C82EF3" w:rsidRDefault="00C82EF3" w:rsidP="0006212B">
            <w:pPr>
              <w:spacing w:line="240" w:lineRule="auto"/>
              <w:ind w:firstLine="0"/>
              <w:contextualSpacing w:val="0"/>
              <w:rPr>
                <w:rFonts w:eastAsia="Times New Roman"/>
                <w:color w:val="000000"/>
                <w:sz w:val="22"/>
              </w:rPr>
            </w:pPr>
            <w:r w:rsidRPr="00C82EF3">
              <w:rPr>
                <w:rFonts w:eastAsia="Times New Roman"/>
                <w:color w:val="000000"/>
                <w:sz w:val="22"/>
              </w:rPr>
              <w:t> </w:t>
            </w:r>
          </w:p>
        </w:tc>
        <w:tc>
          <w:tcPr>
            <w:tcW w:w="4280" w:type="dxa"/>
            <w:tcBorders>
              <w:top w:val="nil"/>
              <w:left w:val="nil"/>
              <w:bottom w:val="single" w:sz="4" w:space="0" w:color="auto"/>
              <w:right w:val="nil"/>
            </w:tcBorders>
            <w:shd w:val="clear" w:color="auto" w:fill="auto"/>
            <w:vAlign w:val="bottom"/>
            <w:hideMark/>
          </w:tcPr>
          <w:p w14:paraId="11B517F4" w14:textId="77777777" w:rsidR="00C82EF3" w:rsidRPr="00C82EF3" w:rsidRDefault="00C82EF3" w:rsidP="0006212B">
            <w:pPr>
              <w:spacing w:line="240" w:lineRule="auto"/>
              <w:ind w:firstLine="0"/>
              <w:contextualSpacing w:val="0"/>
              <w:rPr>
                <w:rFonts w:eastAsia="Times New Roman"/>
                <w:color w:val="000000"/>
                <w:sz w:val="22"/>
              </w:rPr>
            </w:pPr>
            <w:r w:rsidRPr="00C82EF3">
              <w:rPr>
                <w:rFonts w:eastAsia="Times New Roman"/>
                <w:color w:val="000000"/>
                <w:sz w:val="22"/>
              </w:rPr>
              <w:t> </w:t>
            </w:r>
          </w:p>
        </w:tc>
      </w:tr>
      <w:tr w:rsidR="00C82EF3" w:rsidRPr="00C82EF3" w14:paraId="53BB28AE" w14:textId="77777777" w:rsidTr="00C82EF3">
        <w:trPr>
          <w:trHeight w:val="600"/>
        </w:trPr>
        <w:tc>
          <w:tcPr>
            <w:tcW w:w="4280" w:type="dxa"/>
            <w:tcBorders>
              <w:top w:val="nil"/>
              <w:left w:val="nil"/>
              <w:bottom w:val="nil"/>
              <w:right w:val="nil"/>
            </w:tcBorders>
            <w:shd w:val="clear" w:color="auto" w:fill="auto"/>
            <w:vAlign w:val="center"/>
            <w:hideMark/>
          </w:tcPr>
          <w:p w14:paraId="0FB48281" w14:textId="77777777" w:rsidR="00C82EF3" w:rsidRPr="00C82EF3" w:rsidRDefault="00C82EF3" w:rsidP="0006212B">
            <w:pPr>
              <w:spacing w:line="240" w:lineRule="auto"/>
              <w:ind w:firstLine="0"/>
              <w:contextualSpacing w:val="0"/>
              <w:jc w:val="center"/>
              <w:rPr>
                <w:rFonts w:eastAsia="Times New Roman"/>
                <w:b/>
                <w:bCs/>
                <w:color w:val="000000"/>
                <w:sz w:val="22"/>
              </w:rPr>
            </w:pPr>
            <w:r w:rsidRPr="00C82EF3">
              <w:rPr>
                <w:rFonts w:eastAsia="Times New Roman"/>
                <w:b/>
                <w:bCs/>
                <w:color w:val="000000"/>
                <w:sz w:val="22"/>
              </w:rPr>
              <w:t>Strategy</w:t>
            </w:r>
          </w:p>
        </w:tc>
        <w:tc>
          <w:tcPr>
            <w:tcW w:w="320" w:type="dxa"/>
            <w:tcBorders>
              <w:top w:val="nil"/>
              <w:left w:val="nil"/>
              <w:bottom w:val="nil"/>
              <w:right w:val="nil"/>
            </w:tcBorders>
            <w:shd w:val="clear" w:color="auto" w:fill="auto"/>
            <w:vAlign w:val="center"/>
            <w:hideMark/>
          </w:tcPr>
          <w:p w14:paraId="1AFF3B26" w14:textId="77777777" w:rsidR="00C82EF3" w:rsidRPr="00C82EF3" w:rsidRDefault="00C82EF3" w:rsidP="0006212B">
            <w:pPr>
              <w:spacing w:line="240" w:lineRule="auto"/>
              <w:ind w:firstLine="0"/>
              <w:contextualSpacing w:val="0"/>
              <w:jc w:val="center"/>
              <w:rPr>
                <w:rFonts w:eastAsia="Times New Roman"/>
                <w:b/>
                <w:bCs/>
                <w:color w:val="000000"/>
                <w:sz w:val="22"/>
              </w:rPr>
            </w:pPr>
          </w:p>
        </w:tc>
        <w:tc>
          <w:tcPr>
            <w:tcW w:w="4280" w:type="dxa"/>
            <w:tcBorders>
              <w:top w:val="nil"/>
              <w:left w:val="nil"/>
              <w:bottom w:val="nil"/>
              <w:right w:val="nil"/>
            </w:tcBorders>
            <w:shd w:val="clear" w:color="auto" w:fill="auto"/>
            <w:vAlign w:val="center"/>
            <w:hideMark/>
          </w:tcPr>
          <w:p w14:paraId="4C8CE1B1" w14:textId="77777777" w:rsidR="00C82EF3" w:rsidRPr="00C82EF3" w:rsidRDefault="00C82EF3" w:rsidP="0006212B">
            <w:pPr>
              <w:spacing w:line="240" w:lineRule="auto"/>
              <w:ind w:firstLine="0"/>
              <w:contextualSpacing w:val="0"/>
              <w:jc w:val="center"/>
              <w:rPr>
                <w:rFonts w:eastAsia="Times New Roman"/>
                <w:b/>
                <w:bCs/>
                <w:color w:val="000000"/>
                <w:sz w:val="22"/>
              </w:rPr>
            </w:pPr>
            <w:r w:rsidRPr="00C82EF3">
              <w:rPr>
                <w:rFonts w:eastAsia="Times New Roman"/>
                <w:b/>
                <w:bCs/>
                <w:color w:val="000000"/>
                <w:sz w:val="22"/>
              </w:rPr>
              <w:t>Suggested Theories</w:t>
            </w:r>
          </w:p>
        </w:tc>
      </w:tr>
      <w:tr w:rsidR="00C82EF3" w:rsidRPr="00C82EF3" w14:paraId="581223EA" w14:textId="77777777" w:rsidTr="00C82EF3">
        <w:trPr>
          <w:trHeight w:val="799"/>
        </w:trPr>
        <w:tc>
          <w:tcPr>
            <w:tcW w:w="4280" w:type="dxa"/>
            <w:tcBorders>
              <w:top w:val="nil"/>
              <w:left w:val="nil"/>
              <w:bottom w:val="nil"/>
              <w:right w:val="nil"/>
            </w:tcBorders>
            <w:shd w:val="clear" w:color="auto" w:fill="auto"/>
            <w:vAlign w:val="center"/>
            <w:hideMark/>
          </w:tcPr>
          <w:p w14:paraId="4E146BD5"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Study and Apply Cultural Competency</w:t>
            </w:r>
          </w:p>
        </w:tc>
        <w:tc>
          <w:tcPr>
            <w:tcW w:w="320" w:type="dxa"/>
            <w:tcBorders>
              <w:top w:val="nil"/>
              <w:left w:val="nil"/>
              <w:bottom w:val="nil"/>
              <w:right w:val="nil"/>
            </w:tcBorders>
            <w:shd w:val="clear" w:color="auto" w:fill="auto"/>
            <w:vAlign w:val="center"/>
            <w:hideMark/>
          </w:tcPr>
          <w:p w14:paraId="0079B54E" w14:textId="77777777" w:rsidR="00C82EF3" w:rsidRPr="00C82EF3" w:rsidRDefault="00C82EF3" w:rsidP="0006212B">
            <w:pPr>
              <w:spacing w:line="240" w:lineRule="auto"/>
              <w:ind w:firstLine="0"/>
              <w:contextualSpacing w:val="0"/>
              <w:jc w:val="center"/>
              <w:rPr>
                <w:rFonts w:eastAsia="Times New Roman"/>
                <w:color w:val="000000"/>
                <w:szCs w:val="24"/>
              </w:rPr>
            </w:pPr>
          </w:p>
        </w:tc>
        <w:tc>
          <w:tcPr>
            <w:tcW w:w="4280" w:type="dxa"/>
            <w:tcBorders>
              <w:top w:val="nil"/>
              <w:left w:val="nil"/>
              <w:bottom w:val="nil"/>
              <w:right w:val="nil"/>
            </w:tcBorders>
            <w:shd w:val="clear" w:color="auto" w:fill="auto"/>
            <w:vAlign w:val="center"/>
            <w:hideMark/>
          </w:tcPr>
          <w:p w14:paraId="582D2C87"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critical race theory, communication theory of identity, co-cultural theory</w:t>
            </w:r>
          </w:p>
        </w:tc>
      </w:tr>
      <w:tr w:rsidR="00C82EF3" w:rsidRPr="00C82EF3" w14:paraId="1550A3F5" w14:textId="77777777" w:rsidTr="00C82EF3">
        <w:trPr>
          <w:trHeight w:val="799"/>
        </w:trPr>
        <w:tc>
          <w:tcPr>
            <w:tcW w:w="4280" w:type="dxa"/>
            <w:tcBorders>
              <w:top w:val="nil"/>
              <w:left w:val="nil"/>
              <w:bottom w:val="nil"/>
              <w:right w:val="nil"/>
            </w:tcBorders>
            <w:shd w:val="clear" w:color="auto" w:fill="auto"/>
            <w:vAlign w:val="center"/>
            <w:hideMark/>
          </w:tcPr>
          <w:p w14:paraId="4AF8AA63"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Be Transparent, Share Information</w:t>
            </w:r>
          </w:p>
        </w:tc>
        <w:tc>
          <w:tcPr>
            <w:tcW w:w="320" w:type="dxa"/>
            <w:tcBorders>
              <w:top w:val="nil"/>
              <w:left w:val="nil"/>
              <w:bottom w:val="nil"/>
              <w:right w:val="nil"/>
            </w:tcBorders>
            <w:shd w:val="clear" w:color="auto" w:fill="auto"/>
            <w:vAlign w:val="center"/>
            <w:hideMark/>
          </w:tcPr>
          <w:p w14:paraId="40AD84C3" w14:textId="77777777" w:rsidR="00C82EF3" w:rsidRPr="00C82EF3" w:rsidRDefault="00C82EF3" w:rsidP="0006212B">
            <w:pPr>
              <w:spacing w:line="240" w:lineRule="auto"/>
              <w:ind w:firstLine="0"/>
              <w:contextualSpacing w:val="0"/>
              <w:jc w:val="center"/>
              <w:rPr>
                <w:rFonts w:eastAsia="Times New Roman"/>
                <w:color w:val="000000"/>
                <w:szCs w:val="24"/>
              </w:rPr>
            </w:pPr>
          </w:p>
        </w:tc>
        <w:tc>
          <w:tcPr>
            <w:tcW w:w="4280" w:type="dxa"/>
            <w:tcBorders>
              <w:top w:val="nil"/>
              <w:left w:val="nil"/>
              <w:bottom w:val="nil"/>
              <w:right w:val="nil"/>
            </w:tcBorders>
            <w:shd w:val="clear" w:color="auto" w:fill="auto"/>
            <w:vAlign w:val="center"/>
            <w:hideMark/>
          </w:tcPr>
          <w:p w14:paraId="5BCAFCC9"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grounded theory, uses and gratifications theory</w:t>
            </w:r>
          </w:p>
        </w:tc>
      </w:tr>
      <w:tr w:rsidR="00C82EF3" w:rsidRPr="00C82EF3" w14:paraId="54C26C70" w14:textId="77777777" w:rsidTr="00C82EF3">
        <w:trPr>
          <w:trHeight w:val="799"/>
        </w:trPr>
        <w:tc>
          <w:tcPr>
            <w:tcW w:w="4280" w:type="dxa"/>
            <w:tcBorders>
              <w:top w:val="nil"/>
              <w:left w:val="nil"/>
              <w:bottom w:val="nil"/>
              <w:right w:val="nil"/>
            </w:tcBorders>
            <w:shd w:val="clear" w:color="auto" w:fill="auto"/>
            <w:vAlign w:val="center"/>
            <w:hideMark/>
          </w:tcPr>
          <w:p w14:paraId="51AEA7EC"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Snowball Sampling</w:t>
            </w:r>
          </w:p>
        </w:tc>
        <w:tc>
          <w:tcPr>
            <w:tcW w:w="320" w:type="dxa"/>
            <w:tcBorders>
              <w:top w:val="nil"/>
              <w:left w:val="nil"/>
              <w:bottom w:val="nil"/>
              <w:right w:val="nil"/>
            </w:tcBorders>
            <w:shd w:val="clear" w:color="auto" w:fill="auto"/>
            <w:vAlign w:val="center"/>
            <w:hideMark/>
          </w:tcPr>
          <w:p w14:paraId="346CF23C" w14:textId="77777777" w:rsidR="00C82EF3" w:rsidRPr="00C82EF3" w:rsidRDefault="00C82EF3" w:rsidP="0006212B">
            <w:pPr>
              <w:spacing w:line="240" w:lineRule="auto"/>
              <w:ind w:firstLine="0"/>
              <w:contextualSpacing w:val="0"/>
              <w:jc w:val="center"/>
              <w:rPr>
                <w:rFonts w:eastAsia="Times New Roman"/>
                <w:color w:val="000000"/>
                <w:szCs w:val="24"/>
              </w:rPr>
            </w:pPr>
          </w:p>
        </w:tc>
        <w:tc>
          <w:tcPr>
            <w:tcW w:w="4280" w:type="dxa"/>
            <w:tcBorders>
              <w:top w:val="nil"/>
              <w:left w:val="nil"/>
              <w:bottom w:val="nil"/>
              <w:right w:val="nil"/>
            </w:tcBorders>
            <w:shd w:val="clear" w:color="auto" w:fill="auto"/>
            <w:vAlign w:val="center"/>
            <w:hideMark/>
          </w:tcPr>
          <w:p w14:paraId="5295B80B" w14:textId="77777777" w:rsidR="00C82EF3" w:rsidRPr="00C82EF3" w:rsidRDefault="00C82EF3" w:rsidP="0006212B">
            <w:pPr>
              <w:spacing w:line="240" w:lineRule="auto"/>
              <w:ind w:firstLine="0"/>
              <w:contextualSpacing w:val="0"/>
              <w:jc w:val="center"/>
              <w:rPr>
                <w:rFonts w:eastAsia="Times New Roman"/>
                <w:color w:val="000000"/>
                <w:szCs w:val="24"/>
              </w:rPr>
            </w:pPr>
            <w:bookmarkStart w:id="3" w:name="RANGE!C5"/>
            <w:r w:rsidRPr="00C82EF3">
              <w:rPr>
                <w:rFonts w:eastAsia="Times New Roman"/>
                <w:color w:val="000000"/>
                <w:szCs w:val="24"/>
              </w:rPr>
              <w:t>diffusion of innovation, elaboration likelihood model</w:t>
            </w:r>
            <w:bookmarkEnd w:id="3"/>
          </w:p>
        </w:tc>
      </w:tr>
      <w:tr w:rsidR="00C82EF3" w:rsidRPr="00C82EF3" w14:paraId="18DC78E3" w14:textId="77777777" w:rsidTr="00C82EF3">
        <w:trPr>
          <w:trHeight w:val="799"/>
        </w:trPr>
        <w:tc>
          <w:tcPr>
            <w:tcW w:w="4280" w:type="dxa"/>
            <w:tcBorders>
              <w:top w:val="nil"/>
              <w:left w:val="nil"/>
              <w:bottom w:val="nil"/>
              <w:right w:val="nil"/>
            </w:tcBorders>
            <w:shd w:val="clear" w:color="auto" w:fill="auto"/>
            <w:vAlign w:val="center"/>
            <w:hideMark/>
          </w:tcPr>
          <w:p w14:paraId="41C6FADA" w14:textId="593B1723"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Improve Patient-</w:t>
            </w:r>
            <w:r w:rsidR="00AF0A95">
              <w:rPr>
                <w:rFonts w:eastAsia="Times New Roman"/>
                <w:color w:val="000000"/>
                <w:szCs w:val="24"/>
              </w:rPr>
              <w:t>Clinician</w:t>
            </w:r>
            <w:r w:rsidRPr="00C82EF3">
              <w:rPr>
                <w:rFonts w:eastAsia="Times New Roman"/>
                <w:color w:val="000000"/>
                <w:szCs w:val="24"/>
              </w:rPr>
              <w:t xml:space="preserve"> Communication</w:t>
            </w:r>
          </w:p>
        </w:tc>
        <w:tc>
          <w:tcPr>
            <w:tcW w:w="320" w:type="dxa"/>
            <w:tcBorders>
              <w:top w:val="nil"/>
              <w:left w:val="nil"/>
              <w:bottom w:val="nil"/>
              <w:right w:val="nil"/>
            </w:tcBorders>
            <w:shd w:val="clear" w:color="auto" w:fill="auto"/>
            <w:vAlign w:val="center"/>
            <w:hideMark/>
          </w:tcPr>
          <w:p w14:paraId="099241D5" w14:textId="77777777" w:rsidR="00C82EF3" w:rsidRPr="00C82EF3" w:rsidRDefault="00C82EF3" w:rsidP="0006212B">
            <w:pPr>
              <w:spacing w:line="240" w:lineRule="auto"/>
              <w:ind w:firstLine="0"/>
              <w:contextualSpacing w:val="0"/>
              <w:jc w:val="center"/>
              <w:rPr>
                <w:rFonts w:eastAsia="Times New Roman"/>
                <w:color w:val="000000"/>
                <w:szCs w:val="24"/>
              </w:rPr>
            </w:pPr>
          </w:p>
        </w:tc>
        <w:tc>
          <w:tcPr>
            <w:tcW w:w="4280" w:type="dxa"/>
            <w:tcBorders>
              <w:top w:val="nil"/>
              <w:left w:val="nil"/>
              <w:bottom w:val="nil"/>
              <w:right w:val="nil"/>
            </w:tcBorders>
            <w:shd w:val="clear" w:color="auto" w:fill="auto"/>
            <w:vAlign w:val="center"/>
            <w:hideMark/>
          </w:tcPr>
          <w:p w14:paraId="4AF44A8A"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health belief model, integrated behavioral model</w:t>
            </w:r>
          </w:p>
        </w:tc>
      </w:tr>
      <w:tr w:rsidR="00C82EF3" w:rsidRPr="00C82EF3" w14:paraId="55916C6A" w14:textId="77777777" w:rsidTr="00C82EF3">
        <w:trPr>
          <w:trHeight w:val="799"/>
        </w:trPr>
        <w:tc>
          <w:tcPr>
            <w:tcW w:w="4280" w:type="dxa"/>
            <w:tcBorders>
              <w:top w:val="nil"/>
              <w:left w:val="nil"/>
              <w:bottom w:val="nil"/>
              <w:right w:val="nil"/>
            </w:tcBorders>
            <w:shd w:val="clear" w:color="auto" w:fill="auto"/>
            <w:vAlign w:val="center"/>
            <w:hideMark/>
          </w:tcPr>
          <w:p w14:paraId="5D164D64"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Employ Community-Based Participatory Research (CBPR)</w:t>
            </w:r>
          </w:p>
        </w:tc>
        <w:tc>
          <w:tcPr>
            <w:tcW w:w="320" w:type="dxa"/>
            <w:tcBorders>
              <w:top w:val="nil"/>
              <w:left w:val="nil"/>
              <w:bottom w:val="nil"/>
              <w:right w:val="nil"/>
            </w:tcBorders>
            <w:shd w:val="clear" w:color="auto" w:fill="auto"/>
            <w:vAlign w:val="center"/>
            <w:hideMark/>
          </w:tcPr>
          <w:p w14:paraId="3BA3E69F" w14:textId="77777777" w:rsidR="00C82EF3" w:rsidRPr="00C82EF3" w:rsidRDefault="00C82EF3" w:rsidP="0006212B">
            <w:pPr>
              <w:spacing w:line="240" w:lineRule="auto"/>
              <w:ind w:firstLine="0"/>
              <w:contextualSpacing w:val="0"/>
              <w:jc w:val="center"/>
              <w:rPr>
                <w:rFonts w:eastAsia="Times New Roman"/>
                <w:color w:val="000000"/>
                <w:szCs w:val="24"/>
              </w:rPr>
            </w:pPr>
          </w:p>
        </w:tc>
        <w:tc>
          <w:tcPr>
            <w:tcW w:w="4280" w:type="dxa"/>
            <w:tcBorders>
              <w:top w:val="nil"/>
              <w:left w:val="nil"/>
              <w:bottom w:val="nil"/>
              <w:right w:val="nil"/>
            </w:tcBorders>
            <w:shd w:val="clear" w:color="auto" w:fill="auto"/>
            <w:vAlign w:val="center"/>
            <w:hideMark/>
          </w:tcPr>
          <w:p w14:paraId="19D32DD1"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integrated behavioral model, PEN-3 model</w:t>
            </w:r>
          </w:p>
        </w:tc>
      </w:tr>
      <w:tr w:rsidR="00C82EF3" w:rsidRPr="00C82EF3" w14:paraId="78DB23C9" w14:textId="77777777" w:rsidTr="00C82EF3">
        <w:trPr>
          <w:trHeight w:val="799"/>
        </w:trPr>
        <w:tc>
          <w:tcPr>
            <w:tcW w:w="4280" w:type="dxa"/>
            <w:tcBorders>
              <w:top w:val="nil"/>
              <w:left w:val="nil"/>
              <w:bottom w:val="nil"/>
              <w:right w:val="nil"/>
            </w:tcBorders>
            <w:shd w:val="clear" w:color="auto" w:fill="auto"/>
            <w:vAlign w:val="center"/>
            <w:hideMark/>
          </w:tcPr>
          <w:p w14:paraId="46F8EEE8"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Involve/Engage Key Community Leaders</w:t>
            </w:r>
          </w:p>
        </w:tc>
        <w:tc>
          <w:tcPr>
            <w:tcW w:w="320" w:type="dxa"/>
            <w:tcBorders>
              <w:top w:val="nil"/>
              <w:left w:val="nil"/>
              <w:bottom w:val="nil"/>
              <w:right w:val="nil"/>
            </w:tcBorders>
            <w:shd w:val="clear" w:color="auto" w:fill="auto"/>
            <w:vAlign w:val="center"/>
            <w:hideMark/>
          </w:tcPr>
          <w:p w14:paraId="56F2104C" w14:textId="77777777" w:rsidR="00C82EF3" w:rsidRPr="00C82EF3" w:rsidRDefault="00C82EF3" w:rsidP="0006212B">
            <w:pPr>
              <w:spacing w:line="240" w:lineRule="auto"/>
              <w:ind w:firstLine="0"/>
              <w:contextualSpacing w:val="0"/>
              <w:jc w:val="center"/>
              <w:rPr>
                <w:rFonts w:eastAsia="Times New Roman"/>
                <w:color w:val="000000"/>
                <w:szCs w:val="24"/>
              </w:rPr>
            </w:pPr>
          </w:p>
        </w:tc>
        <w:tc>
          <w:tcPr>
            <w:tcW w:w="4280" w:type="dxa"/>
            <w:tcBorders>
              <w:top w:val="nil"/>
              <w:left w:val="nil"/>
              <w:bottom w:val="nil"/>
              <w:right w:val="nil"/>
            </w:tcBorders>
            <w:shd w:val="clear" w:color="auto" w:fill="auto"/>
            <w:vAlign w:val="center"/>
            <w:hideMark/>
          </w:tcPr>
          <w:p w14:paraId="1F682188"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diffusion of innovation, elaboration likelihood model</w:t>
            </w:r>
          </w:p>
        </w:tc>
      </w:tr>
      <w:tr w:rsidR="00C82EF3" w:rsidRPr="00C82EF3" w14:paraId="6B0F5149" w14:textId="77777777" w:rsidTr="00C82EF3">
        <w:trPr>
          <w:trHeight w:val="799"/>
        </w:trPr>
        <w:tc>
          <w:tcPr>
            <w:tcW w:w="4280" w:type="dxa"/>
            <w:tcBorders>
              <w:top w:val="nil"/>
              <w:left w:val="nil"/>
              <w:bottom w:val="nil"/>
              <w:right w:val="nil"/>
            </w:tcBorders>
            <w:shd w:val="clear" w:color="auto" w:fill="auto"/>
            <w:vAlign w:val="center"/>
            <w:hideMark/>
          </w:tcPr>
          <w:p w14:paraId="09F8DDDE"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Use Message Targeting and Tailoring</w:t>
            </w:r>
          </w:p>
        </w:tc>
        <w:tc>
          <w:tcPr>
            <w:tcW w:w="320" w:type="dxa"/>
            <w:tcBorders>
              <w:top w:val="nil"/>
              <w:left w:val="nil"/>
              <w:bottom w:val="nil"/>
              <w:right w:val="nil"/>
            </w:tcBorders>
            <w:shd w:val="clear" w:color="auto" w:fill="auto"/>
            <w:vAlign w:val="center"/>
            <w:hideMark/>
          </w:tcPr>
          <w:p w14:paraId="2B644D44" w14:textId="77777777" w:rsidR="00C82EF3" w:rsidRPr="00C82EF3" w:rsidRDefault="00C82EF3" w:rsidP="0006212B">
            <w:pPr>
              <w:spacing w:line="240" w:lineRule="auto"/>
              <w:ind w:firstLine="0"/>
              <w:contextualSpacing w:val="0"/>
              <w:jc w:val="center"/>
              <w:rPr>
                <w:rFonts w:eastAsia="Times New Roman"/>
                <w:color w:val="000000"/>
                <w:szCs w:val="24"/>
              </w:rPr>
            </w:pPr>
          </w:p>
        </w:tc>
        <w:tc>
          <w:tcPr>
            <w:tcW w:w="4280" w:type="dxa"/>
            <w:tcBorders>
              <w:top w:val="nil"/>
              <w:left w:val="nil"/>
              <w:bottom w:val="nil"/>
              <w:right w:val="nil"/>
            </w:tcBorders>
            <w:shd w:val="clear" w:color="auto" w:fill="auto"/>
            <w:vAlign w:val="center"/>
            <w:hideMark/>
          </w:tcPr>
          <w:p w14:paraId="41F4E559"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integrated behavioral model, PEN-3 model, health belief model</w:t>
            </w:r>
          </w:p>
        </w:tc>
      </w:tr>
      <w:tr w:rsidR="00C82EF3" w:rsidRPr="00C82EF3" w14:paraId="72D5D12C" w14:textId="77777777" w:rsidTr="00C82EF3">
        <w:trPr>
          <w:trHeight w:val="799"/>
        </w:trPr>
        <w:tc>
          <w:tcPr>
            <w:tcW w:w="4280" w:type="dxa"/>
            <w:tcBorders>
              <w:top w:val="nil"/>
              <w:left w:val="nil"/>
              <w:bottom w:val="single" w:sz="4" w:space="0" w:color="auto"/>
              <w:right w:val="nil"/>
            </w:tcBorders>
            <w:shd w:val="clear" w:color="auto" w:fill="auto"/>
            <w:vAlign w:val="center"/>
            <w:hideMark/>
          </w:tcPr>
          <w:p w14:paraId="45AE4213"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Look for the “Why”</w:t>
            </w:r>
          </w:p>
        </w:tc>
        <w:tc>
          <w:tcPr>
            <w:tcW w:w="320" w:type="dxa"/>
            <w:tcBorders>
              <w:top w:val="nil"/>
              <w:left w:val="nil"/>
              <w:bottom w:val="single" w:sz="4" w:space="0" w:color="auto"/>
              <w:right w:val="nil"/>
            </w:tcBorders>
            <w:shd w:val="clear" w:color="auto" w:fill="auto"/>
            <w:vAlign w:val="center"/>
            <w:hideMark/>
          </w:tcPr>
          <w:p w14:paraId="4929A3C0"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 </w:t>
            </w:r>
          </w:p>
        </w:tc>
        <w:tc>
          <w:tcPr>
            <w:tcW w:w="4280" w:type="dxa"/>
            <w:tcBorders>
              <w:top w:val="nil"/>
              <w:left w:val="nil"/>
              <w:bottom w:val="single" w:sz="4" w:space="0" w:color="auto"/>
              <w:right w:val="nil"/>
            </w:tcBorders>
            <w:shd w:val="clear" w:color="auto" w:fill="auto"/>
            <w:vAlign w:val="center"/>
            <w:hideMark/>
          </w:tcPr>
          <w:p w14:paraId="5D7BD637" w14:textId="77777777" w:rsidR="00C82EF3" w:rsidRPr="00C82EF3" w:rsidRDefault="00C82EF3" w:rsidP="0006212B">
            <w:pPr>
              <w:spacing w:line="240" w:lineRule="auto"/>
              <w:ind w:firstLine="0"/>
              <w:contextualSpacing w:val="0"/>
              <w:jc w:val="center"/>
              <w:rPr>
                <w:rFonts w:eastAsia="Times New Roman"/>
                <w:color w:val="000000"/>
                <w:szCs w:val="24"/>
              </w:rPr>
            </w:pPr>
            <w:r w:rsidRPr="00C82EF3">
              <w:rPr>
                <w:rFonts w:eastAsia="Times New Roman"/>
                <w:color w:val="000000"/>
                <w:szCs w:val="24"/>
              </w:rPr>
              <w:t>integrated behavioral model, PEN-3 model</w:t>
            </w:r>
          </w:p>
        </w:tc>
      </w:tr>
    </w:tbl>
    <w:p w14:paraId="4FB79BFE" w14:textId="77777777" w:rsidR="00C93949" w:rsidRDefault="00C93949" w:rsidP="0006212B">
      <w:pPr>
        <w:pStyle w:val="EndNoteBibliography"/>
        <w:spacing w:line="259" w:lineRule="auto"/>
        <w:ind w:left="720" w:hanging="720"/>
      </w:pPr>
    </w:p>
    <w:p w14:paraId="7CE6666F" w14:textId="77777777" w:rsidR="008A7BC1" w:rsidRDefault="008A7BC1" w:rsidP="0006212B">
      <w:pPr>
        <w:spacing w:after="120" w:line="240" w:lineRule="auto"/>
        <w:ind w:firstLine="0"/>
        <w:contextualSpacing w:val="0"/>
        <w:rPr>
          <w:b/>
          <w:bCs/>
          <w:noProof/>
        </w:rPr>
      </w:pPr>
      <w:r>
        <w:rPr>
          <w:b/>
          <w:bCs/>
        </w:rPr>
        <w:br w:type="page"/>
      </w:r>
    </w:p>
    <w:p w14:paraId="4395A088" w14:textId="49A292CC" w:rsidR="008A7BC1" w:rsidRPr="00EF2C00" w:rsidRDefault="008A7BC1" w:rsidP="0006212B">
      <w:pPr>
        <w:pStyle w:val="EndNoteBibliography"/>
        <w:spacing w:line="259" w:lineRule="auto"/>
        <w:ind w:left="720" w:hanging="720"/>
        <w:jc w:val="center"/>
        <w:rPr>
          <w:b/>
          <w:bCs/>
        </w:rPr>
      </w:pPr>
      <w:r w:rsidRPr="00EF2C00">
        <w:rPr>
          <w:b/>
          <w:bCs/>
        </w:rPr>
        <w:lastRenderedPageBreak/>
        <w:t>Short Bio</w:t>
      </w:r>
    </w:p>
    <w:p w14:paraId="5E3C47FD" w14:textId="77777777" w:rsidR="008A7BC1" w:rsidRDefault="008A7BC1" w:rsidP="0006212B">
      <w:r>
        <w:t xml:space="preserve">Katherine E. Ridley-Merriweather, currently a doctoral student in health communication at IUPUI, is the Communication/Minority Outreach Coordinator for the Komen Tissue Bank at the IU Simon Cancer Center. She is an applied researcher whose studies on illuminating and increasing the motivations of members of racialized and underserved populations to participate in breast cancer clinical trials have been published in </w:t>
      </w:r>
      <w:r w:rsidRPr="00287194">
        <w:rPr>
          <w:i/>
          <w:iCs/>
        </w:rPr>
        <w:t>Health Communication</w:t>
      </w:r>
      <w:r>
        <w:t xml:space="preserve"> and </w:t>
      </w:r>
      <w:r w:rsidRPr="00287194">
        <w:rPr>
          <w:i/>
          <w:iCs/>
        </w:rPr>
        <w:t>Communication Education</w:t>
      </w:r>
      <w:r>
        <w:t>. Additional work emphasizes the importance of identity respect and identity safety in recruiting minoritized population group members to medical research.</w:t>
      </w:r>
    </w:p>
    <w:p w14:paraId="3A0E6597" w14:textId="058DD6DB" w:rsidR="00444BD9" w:rsidRDefault="00444BD9" w:rsidP="0006212B">
      <w:pPr>
        <w:pStyle w:val="EndNoteBibliography"/>
        <w:spacing w:line="259" w:lineRule="auto"/>
        <w:ind w:left="720" w:hanging="720"/>
      </w:pPr>
    </w:p>
    <w:sectPr w:rsidR="00444BD9">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EE540" w14:textId="77777777" w:rsidR="00EF5773" w:rsidRDefault="00EF5773" w:rsidP="00AA2D6A">
      <w:pPr>
        <w:spacing w:line="240" w:lineRule="auto"/>
      </w:pPr>
      <w:r>
        <w:separator/>
      </w:r>
    </w:p>
  </w:endnote>
  <w:endnote w:type="continuationSeparator" w:id="0">
    <w:p w14:paraId="38F77857" w14:textId="77777777" w:rsidR="00EF5773" w:rsidRDefault="00EF5773" w:rsidP="00AA2D6A">
      <w:pPr>
        <w:spacing w:line="240" w:lineRule="auto"/>
      </w:pPr>
      <w:r>
        <w:continuationSeparator/>
      </w:r>
    </w:p>
  </w:endnote>
  <w:endnote w:type="continuationNotice" w:id="1">
    <w:p w14:paraId="3FFA4326" w14:textId="77777777" w:rsidR="00EF5773" w:rsidRDefault="00EF57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8BA89" w14:textId="77777777" w:rsidR="00EF5773" w:rsidRDefault="00EF5773" w:rsidP="00AA2D6A">
      <w:pPr>
        <w:spacing w:line="240" w:lineRule="auto"/>
      </w:pPr>
      <w:r>
        <w:separator/>
      </w:r>
    </w:p>
  </w:footnote>
  <w:footnote w:type="continuationSeparator" w:id="0">
    <w:p w14:paraId="06E20522" w14:textId="77777777" w:rsidR="00EF5773" w:rsidRDefault="00EF5773" w:rsidP="00AA2D6A">
      <w:pPr>
        <w:spacing w:line="240" w:lineRule="auto"/>
      </w:pPr>
      <w:r>
        <w:continuationSeparator/>
      </w:r>
    </w:p>
  </w:footnote>
  <w:footnote w:type="continuationNotice" w:id="1">
    <w:p w14:paraId="149046D4" w14:textId="77777777" w:rsidR="00EF5773" w:rsidRDefault="00EF57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7DA6B" w14:textId="0415A803" w:rsidR="00AA2D6A" w:rsidRDefault="00AA2D6A" w:rsidP="008B71CF">
    <w:pPr>
      <w:pStyle w:val="Header"/>
      <w:ind w:firstLine="0"/>
      <w:jc w:val="center"/>
    </w:pPr>
    <w:r>
      <w:t>RECRUITMENT</w:t>
    </w:r>
    <w:r w:rsidR="0047716F">
      <w:t xml:space="preserve">: </w:t>
    </w:r>
    <w:r>
      <w:t>UNDERREPRESENTED</w:t>
    </w:r>
    <w:r w:rsidR="0047716F">
      <w:t xml:space="preserve"> GROUPS  </w:t>
    </w:r>
    <w:r w:rsidR="008B71CF">
      <w:tab/>
    </w:r>
    <w:r w:rsidR="0047716F">
      <w:t xml:space="preserve">  </w:t>
    </w:r>
    <w:r w:rsidR="0047716F">
      <w:fldChar w:fldCharType="begin"/>
    </w:r>
    <w:r w:rsidR="0047716F">
      <w:instrText xml:space="preserve"> PAGE  \* Arabic  \* MERGEFORMAT </w:instrText>
    </w:r>
    <w:r w:rsidR="0047716F">
      <w:fldChar w:fldCharType="separate"/>
    </w:r>
    <w:r w:rsidR="0047716F">
      <w:rPr>
        <w:noProof/>
      </w:rPr>
      <w:t>1</w:t>
    </w:r>
    <w:r w:rsidR="004771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4ECF"/>
    <w:multiLevelType w:val="hybridMultilevel"/>
    <w:tmpl w:val="651A0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AA4998"/>
    <w:multiLevelType w:val="hybridMultilevel"/>
    <w:tmpl w:val="15D62122"/>
    <w:lvl w:ilvl="0" w:tplc="720494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1E6334"/>
    <w:multiLevelType w:val="hybridMultilevel"/>
    <w:tmpl w:val="B07AA640"/>
    <w:lvl w:ilvl="0" w:tplc="E010863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2F033B"/>
    <w:multiLevelType w:val="hybridMultilevel"/>
    <w:tmpl w:val="1F78BB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E77B8"/>
    <w:multiLevelType w:val="hybridMultilevel"/>
    <w:tmpl w:val="543E30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E4FBA"/>
    <w:multiLevelType w:val="hybridMultilevel"/>
    <w:tmpl w:val="93D4BD3A"/>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5D2E7E80"/>
    <w:multiLevelType w:val="hybridMultilevel"/>
    <w:tmpl w:val="11FC5B32"/>
    <w:lvl w:ilvl="0" w:tplc="2AB4C3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5A0ECB"/>
    <w:multiLevelType w:val="hybridMultilevel"/>
    <w:tmpl w:val="0CE0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137D7"/>
    <w:multiLevelType w:val="hybridMultilevel"/>
    <w:tmpl w:val="D89423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fvaa0aif0s2netddmprze902xeazt50w0p&quot;&gt;EndNote Library - laptop&lt;record-ids&gt;&lt;item&gt;1507&lt;/item&gt;&lt;/record-ids&gt;&lt;/item&gt;&lt;/Libraries&gt;"/>
  </w:docVars>
  <w:rsids>
    <w:rsidRoot w:val="002561D5"/>
    <w:rsid w:val="00000040"/>
    <w:rsid w:val="0000079D"/>
    <w:rsid w:val="000015F8"/>
    <w:rsid w:val="00001D41"/>
    <w:rsid w:val="00002A2A"/>
    <w:rsid w:val="00004CDE"/>
    <w:rsid w:val="0001140A"/>
    <w:rsid w:val="0001254D"/>
    <w:rsid w:val="0001338A"/>
    <w:rsid w:val="00014CEA"/>
    <w:rsid w:val="0001778D"/>
    <w:rsid w:val="00021F14"/>
    <w:rsid w:val="000234F1"/>
    <w:rsid w:val="00023C4F"/>
    <w:rsid w:val="000263EC"/>
    <w:rsid w:val="0002716D"/>
    <w:rsid w:val="00031154"/>
    <w:rsid w:val="00031F6E"/>
    <w:rsid w:val="0003214E"/>
    <w:rsid w:val="00034067"/>
    <w:rsid w:val="000367E6"/>
    <w:rsid w:val="00036A21"/>
    <w:rsid w:val="00036E5B"/>
    <w:rsid w:val="00042FA8"/>
    <w:rsid w:val="00043EF2"/>
    <w:rsid w:val="000445D7"/>
    <w:rsid w:val="0004575B"/>
    <w:rsid w:val="00050812"/>
    <w:rsid w:val="00054047"/>
    <w:rsid w:val="00056DDC"/>
    <w:rsid w:val="00060436"/>
    <w:rsid w:val="0006212B"/>
    <w:rsid w:val="0006220F"/>
    <w:rsid w:val="00065758"/>
    <w:rsid w:val="00067DDC"/>
    <w:rsid w:val="000717C5"/>
    <w:rsid w:val="0007192F"/>
    <w:rsid w:val="0007224C"/>
    <w:rsid w:val="00072703"/>
    <w:rsid w:val="00075122"/>
    <w:rsid w:val="00080588"/>
    <w:rsid w:val="0008238D"/>
    <w:rsid w:val="00084554"/>
    <w:rsid w:val="00087FD7"/>
    <w:rsid w:val="000904B7"/>
    <w:rsid w:val="00090565"/>
    <w:rsid w:val="0009308B"/>
    <w:rsid w:val="00093C5D"/>
    <w:rsid w:val="00096714"/>
    <w:rsid w:val="00097E6E"/>
    <w:rsid w:val="000A056C"/>
    <w:rsid w:val="000A2A0F"/>
    <w:rsid w:val="000A2E18"/>
    <w:rsid w:val="000A5013"/>
    <w:rsid w:val="000A71A0"/>
    <w:rsid w:val="000A7EF8"/>
    <w:rsid w:val="000B09D9"/>
    <w:rsid w:val="000B23A8"/>
    <w:rsid w:val="000B2952"/>
    <w:rsid w:val="000B2DAE"/>
    <w:rsid w:val="000C09AC"/>
    <w:rsid w:val="000C15A6"/>
    <w:rsid w:val="000C5B33"/>
    <w:rsid w:val="000C7788"/>
    <w:rsid w:val="000D643C"/>
    <w:rsid w:val="000E295C"/>
    <w:rsid w:val="000E41DA"/>
    <w:rsid w:val="000E465F"/>
    <w:rsid w:val="000E4D95"/>
    <w:rsid w:val="000E58CF"/>
    <w:rsid w:val="000E6B1B"/>
    <w:rsid w:val="000E7B92"/>
    <w:rsid w:val="000F10AE"/>
    <w:rsid w:val="000F2BF9"/>
    <w:rsid w:val="000F33C7"/>
    <w:rsid w:val="000F3795"/>
    <w:rsid w:val="000F3F92"/>
    <w:rsid w:val="000F4AB6"/>
    <w:rsid w:val="000F6653"/>
    <w:rsid w:val="001016E4"/>
    <w:rsid w:val="00104BCF"/>
    <w:rsid w:val="001113BD"/>
    <w:rsid w:val="00111DF3"/>
    <w:rsid w:val="00112C9C"/>
    <w:rsid w:val="001130FB"/>
    <w:rsid w:val="0011376A"/>
    <w:rsid w:val="00116159"/>
    <w:rsid w:val="0011734F"/>
    <w:rsid w:val="0012518F"/>
    <w:rsid w:val="0012778E"/>
    <w:rsid w:val="001319E8"/>
    <w:rsid w:val="00133868"/>
    <w:rsid w:val="001346EE"/>
    <w:rsid w:val="00134FF5"/>
    <w:rsid w:val="00135E40"/>
    <w:rsid w:val="00137EF3"/>
    <w:rsid w:val="00142BF1"/>
    <w:rsid w:val="001438FB"/>
    <w:rsid w:val="00143FBA"/>
    <w:rsid w:val="001449D8"/>
    <w:rsid w:val="00144BF2"/>
    <w:rsid w:val="001459B1"/>
    <w:rsid w:val="00146E21"/>
    <w:rsid w:val="001501B4"/>
    <w:rsid w:val="00150CEB"/>
    <w:rsid w:val="00151749"/>
    <w:rsid w:val="00151B65"/>
    <w:rsid w:val="00153AEE"/>
    <w:rsid w:val="00153EE2"/>
    <w:rsid w:val="00157268"/>
    <w:rsid w:val="00160232"/>
    <w:rsid w:val="00161775"/>
    <w:rsid w:val="00161980"/>
    <w:rsid w:val="0016389E"/>
    <w:rsid w:val="00164C3C"/>
    <w:rsid w:val="00165BB6"/>
    <w:rsid w:val="0016716B"/>
    <w:rsid w:val="001703D5"/>
    <w:rsid w:val="0017077F"/>
    <w:rsid w:val="00176DCE"/>
    <w:rsid w:val="00177697"/>
    <w:rsid w:val="00180291"/>
    <w:rsid w:val="0018113C"/>
    <w:rsid w:val="0018181B"/>
    <w:rsid w:val="001829F2"/>
    <w:rsid w:val="00184092"/>
    <w:rsid w:val="0018420B"/>
    <w:rsid w:val="00184679"/>
    <w:rsid w:val="001873B6"/>
    <w:rsid w:val="00187ECB"/>
    <w:rsid w:val="00190A4D"/>
    <w:rsid w:val="00191CE6"/>
    <w:rsid w:val="0019413C"/>
    <w:rsid w:val="001A2291"/>
    <w:rsid w:val="001A3918"/>
    <w:rsid w:val="001A4225"/>
    <w:rsid w:val="001A487C"/>
    <w:rsid w:val="001A60E7"/>
    <w:rsid w:val="001A6893"/>
    <w:rsid w:val="001A6D68"/>
    <w:rsid w:val="001A771C"/>
    <w:rsid w:val="001B324A"/>
    <w:rsid w:val="001B66C9"/>
    <w:rsid w:val="001B6D3E"/>
    <w:rsid w:val="001C17FC"/>
    <w:rsid w:val="001C243D"/>
    <w:rsid w:val="001C29A2"/>
    <w:rsid w:val="001C2B8E"/>
    <w:rsid w:val="001C3BDD"/>
    <w:rsid w:val="001C3E2B"/>
    <w:rsid w:val="001C3EB2"/>
    <w:rsid w:val="001C42C8"/>
    <w:rsid w:val="001C482D"/>
    <w:rsid w:val="001C4B31"/>
    <w:rsid w:val="001C5563"/>
    <w:rsid w:val="001D0081"/>
    <w:rsid w:val="001D02C2"/>
    <w:rsid w:val="001D48AB"/>
    <w:rsid w:val="001D5194"/>
    <w:rsid w:val="001D7467"/>
    <w:rsid w:val="001D78A5"/>
    <w:rsid w:val="001D78A6"/>
    <w:rsid w:val="001E14BB"/>
    <w:rsid w:val="001E76B6"/>
    <w:rsid w:val="001E7818"/>
    <w:rsid w:val="001F01BA"/>
    <w:rsid w:val="001F1E6C"/>
    <w:rsid w:val="001F23BB"/>
    <w:rsid w:val="001F256E"/>
    <w:rsid w:val="001F330D"/>
    <w:rsid w:val="001F63A5"/>
    <w:rsid w:val="001F688B"/>
    <w:rsid w:val="00202761"/>
    <w:rsid w:val="00203863"/>
    <w:rsid w:val="00203F95"/>
    <w:rsid w:val="00204644"/>
    <w:rsid w:val="0020670F"/>
    <w:rsid w:val="00207273"/>
    <w:rsid w:val="00210557"/>
    <w:rsid w:val="00210DA0"/>
    <w:rsid w:val="00220705"/>
    <w:rsid w:val="00220EF8"/>
    <w:rsid w:val="00221268"/>
    <w:rsid w:val="002214AA"/>
    <w:rsid w:val="002229F7"/>
    <w:rsid w:val="00222FA2"/>
    <w:rsid w:val="00225DB7"/>
    <w:rsid w:val="00227B5C"/>
    <w:rsid w:val="00231941"/>
    <w:rsid w:val="00234A53"/>
    <w:rsid w:val="002372E8"/>
    <w:rsid w:val="002410A6"/>
    <w:rsid w:val="00241DC5"/>
    <w:rsid w:val="00241E3E"/>
    <w:rsid w:val="00242982"/>
    <w:rsid w:val="0024426E"/>
    <w:rsid w:val="0025191B"/>
    <w:rsid w:val="00251BB7"/>
    <w:rsid w:val="002542EE"/>
    <w:rsid w:val="002558EF"/>
    <w:rsid w:val="002558F6"/>
    <w:rsid w:val="002561D5"/>
    <w:rsid w:val="00256554"/>
    <w:rsid w:val="00256964"/>
    <w:rsid w:val="002621BF"/>
    <w:rsid w:val="00264062"/>
    <w:rsid w:val="002643BA"/>
    <w:rsid w:val="00271178"/>
    <w:rsid w:val="00273E25"/>
    <w:rsid w:val="00274D14"/>
    <w:rsid w:val="00275387"/>
    <w:rsid w:val="00280548"/>
    <w:rsid w:val="002846BA"/>
    <w:rsid w:val="00285C4B"/>
    <w:rsid w:val="00287194"/>
    <w:rsid w:val="00287F44"/>
    <w:rsid w:val="00290EA1"/>
    <w:rsid w:val="00291D48"/>
    <w:rsid w:val="00291EE6"/>
    <w:rsid w:val="002962C3"/>
    <w:rsid w:val="002968AE"/>
    <w:rsid w:val="00296B04"/>
    <w:rsid w:val="002A20DF"/>
    <w:rsid w:val="002A391D"/>
    <w:rsid w:val="002A4D7C"/>
    <w:rsid w:val="002A6DA4"/>
    <w:rsid w:val="002B0D8C"/>
    <w:rsid w:val="002B0E96"/>
    <w:rsid w:val="002B14C0"/>
    <w:rsid w:val="002B1855"/>
    <w:rsid w:val="002B4293"/>
    <w:rsid w:val="002C12BF"/>
    <w:rsid w:val="002C4363"/>
    <w:rsid w:val="002C642D"/>
    <w:rsid w:val="002C7B5D"/>
    <w:rsid w:val="002D1962"/>
    <w:rsid w:val="002D33AD"/>
    <w:rsid w:val="002D712A"/>
    <w:rsid w:val="002D780B"/>
    <w:rsid w:val="002E1D5E"/>
    <w:rsid w:val="002E5AD7"/>
    <w:rsid w:val="002E64EB"/>
    <w:rsid w:val="002F091C"/>
    <w:rsid w:val="002F0D6E"/>
    <w:rsid w:val="002F3166"/>
    <w:rsid w:val="002F4CE3"/>
    <w:rsid w:val="002F60B5"/>
    <w:rsid w:val="002F62E0"/>
    <w:rsid w:val="003000FF"/>
    <w:rsid w:val="003003AD"/>
    <w:rsid w:val="00302E8F"/>
    <w:rsid w:val="00303757"/>
    <w:rsid w:val="00303928"/>
    <w:rsid w:val="00303A9B"/>
    <w:rsid w:val="00303CDC"/>
    <w:rsid w:val="00303FE8"/>
    <w:rsid w:val="003061B2"/>
    <w:rsid w:val="003116F2"/>
    <w:rsid w:val="00312248"/>
    <w:rsid w:val="00313F24"/>
    <w:rsid w:val="00314A28"/>
    <w:rsid w:val="003176DF"/>
    <w:rsid w:val="00320DA4"/>
    <w:rsid w:val="0032283F"/>
    <w:rsid w:val="00325CF6"/>
    <w:rsid w:val="00331491"/>
    <w:rsid w:val="00332FE7"/>
    <w:rsid w:val="00333798"/>
    <w:rsid w:val="0033629C"/>
    <w:rsid w:val="003373D1"/>
    <w:rsid w:val="00337742"/>
    <w:rsid w:val="0034258F"/>
    <w:rsid w:val="00342924"/>
    <w:rsid w:val="00342F33"/>
    <w:rsid w:val="003432BA"/>
    <w:rsid w:val="00343386"/>
    <w:rsid w:val="00344223"/>
    <w:rsid w:val="00344D7A"/>
    <w:rsid w:val="00345319"/>
    <w:rsid w:val="00346646"/>
    <w:rsid w:val="003466AB"/>
    <w:rsid w:val="00347EE9"/>
    <w:rsid w:val="003504A9"/>
    <w:rsid w:val="003560E2"/>
    <w:rsid w:val="0036149E"/>
    <w:rsid w:val="00366152"/>
    <w:rsid w:val="00366884"/>
    <w:rsid w:val="00366E39"/>
    <w:rsid w:val="0036747D"/>
    <w:rsid w:val="00367CB4"/>
    <w:rsid w:val="00367D2C"/>
    <w:rsid w:val="00370D85"/>
    <w:rsid w:val="00375327"/>
    <w:rsid w:val="00375CF9"/>
    <w:rsid w:val="003826A4"/>
    <w:rsid w:val="00384648"/>
    <w:rsid w:val="003859EC"/>
    <w:rsid w:val="00386557"/>
    <w:rsid w:val="00387B24"/>
    <w:rsid w:val="0039307A"/>
    <w:rsid w:val="003962FB"/>
    <w:rsid w:val="003A2712"/>
    <w:rsid w:val="003A2AB3"/>
    <w:rsid w:val="003A540C"/>
    <w:rsid w:val="003A67BF"/>
    <w:rsid w:val="003B12B1"/>
    <w:rsid w:val="003B2359"/>
    <w:rsid w:val="003B3416"/>
    <w:rsid w:val="003B39E9"/>
    <w:rsid w:val="003B454B"/>
    <w:rsid w:val="003B50B2"/>
    <w:rsid w:val="003B6100"/>
    <w:rsid w:val="003C0DF5"/>
    <w:rsid w:val="003C1256"/>
    <w:rsid w:val="003C1789"/>
    <w:rsid w:val="003C1EA9"/>
    <w:rsid w:val="003C3DA0"/>
    <w:rsid w:val="003C3F75"/>
    <w:rsid w:val="003C5A77"/>
    <w:rsid w:val="003C5CC4"/>
    <w:rsid w:val="003D1FA7"/>
    <w:rsid w:val="003D3660"/>
    <w:rsid w:val="003D493A"/>
    <w:rsid w:val="003D59B8"/>
    <w:rsid w:val="003D6C1A"/>
    <w:rsid w:val="003E0158"/>
    <w:rsid w:val="003E07E2"/>
    <w:rsid w:val="003E1939"/>
    <w:rsid w:val="003E4515"/>
    <w:rsid w:val="003E50C2"/>
    <w:rsid w:val="003E68BD"/>
    <w:rsid w:val="003F3C3C"/>
    <w:rsid w:val="003F727F"/>
    <w:rsid w:val="00400A76"/>
    <w:rsid w:val="00400ACE"/>
    <w:rsid w:val="0040205D"/>
    <w:rsid w:val="00402CDB"/>
    <w:rsid w:val="004030BD"/>
    <w:rsid w:val="00407712"/>
    <w:rsid w:val="004079F5"/>
    <w:rsid w:val="00412A49"/>
    <w:rsid w:val="00413F0E"/>
    <w:rsid w:val="00414424"/>
    <w:rsid w:val="00415AF3"/>
    <w:rsid w:val="0041682E"/>
    <w:rsid w:val="00416A83"/>
    <w:rsid w:val="004176DF"/>
    <w:rsid w:val="0042253C"/>
    <w:rsid w:val="004226B4"/>
    <w:rsid w:val="00423171"/>
    <w:rsid w:val="00423598"/>
    <w:rsid w:val="004246BA"/>
    <w:rsid w:val="00424E60"/>
    <w:rsid w:val="00425568"/>
    <w:rsid w:val="0042586F"/>
    <w:rsid w:val="00425B08"/>
    <w:rsid w:val="00426459"/>
    <w:rsid w:val="00426DA2"/>
    <w:rsid w:val="00430E85"/>
    <w:rsid w:val="00434A14"/>
    <w:rsid w:val="00440C8B"/>
    <w:rsid w:val="004449D9"/>
    <w:rsid w:val="00444BD9"/>
    <w:rsid w:val="00445451"/>
    <w:rsid w:val="004479B5"/>
    <w:rsid w:val="004505E1"/>
    <w:rsid w:val="00450B80"/>
    <w:rsid w:val="004515C0"/>
    <w:rsid w:val="00453F9F"/>
    <w:rsid w:val="00457078"/>
    <w:rsid w:val="0045745C"/>
    <w:rsid w:val="00460CC8"/>
    <w:rsid w:val="00462294"/>
    <w:rsid w:val="004627CC"/>
    <w:rsid w:val="00464974"/>
    <w:rsid w:val="00464AFD"/>
    <w:rsid w:val="00466723"/>
    <w:rsid w:val="00470E22"/>
    <w:rsid w:val="00471B0B"/>
    <w:rsid w:val="0047201E"/>
    <w:rsid w:val="00472055"/>
    <w:rsid w:val="00473FB1"/>
    <w:rsid w:val="0047716F"/>
    <w:rsid w:val="004772E4"/>
    <w:rsid w:val="004778DB"/>
    <w:rsid w:val="00482A65"/>
    <w:rsid w:val="00483082"/>
    <w:rsid w:val="00483D42"/>
    <w:rsid w:val="0048405D"/>
    <w:rsid w:val="00484D23"/>
    <w:rsid w:val="004866EF"/>
    <w:rsid w:val="00486C77"/>
    <w:rsid w:val="004900BB"/>
    <w:rsid w:val="00491C04"/>
    <w:rsid w:val="00492B7B"/>
    <w:rsid w:val="00494C17"/>
    <w:rsid w:val="004969F4"/>
    <w:rsid w:val="004969F7"/>
    <w:rsid w:val="004A00EF"/>
    <w:rsid w:val="004A0E75"/>
    <w:rsid w:val="004A32BD"/>
    <w:rsid w:val="004A32E5"/>
    <w:rsid w:val="004A3D70"/>
    <w:rsid w:val="004A497C"/>
    <w:rsid w:val="004A59F8"/>
    <w:rsid w:val="004A5D2E"/>
    <w:rsid w:val="004A6014"/>
    <w:rsid w:val="004B001C"/>
    <w:rsid w:val="004B2FEE"/>
    <w:rsid w:val="004B397D"/>
    <w:rsid w:val="004B3C67"/>
    <w:rsid w:val="004B4507"/>
    <w:rsid w:val="004B4950"/>
    <w:rsid w:val="004C0433"/>
    <w:rsid w:val="004C37FC"/>
    <w:rsid w:val="004C5101"/>
    <w:rsid w:val="004C55F2"/>
    <w:rsid w:val="004C5DF5"/>
    <w:rsid w:val="004E246B"/>
    <w:rsid w:val="004E2568"/>
    <w:rsid w:val="004E28FC"/>
    <w:rsid w:val="004E2B6B"/>
    <w:rsid w:val="004E34F2"/>
    <w:rsid w:val="004E55C4"/>
    <w:rsid w:val="004F031B"/>
    <w:rsid w:val="004F1C35"/>
    <w:rsid w:val="004F1CA2"/>
    <w:rsid w:val="004F4FD6"/>
    <w:rsid w:val="00500CA1"/>
    <w:rsid w:val="0050179B"/>
    <w:rsid w:val="00503032"/>
    <w:rsid w:val="005050D1"/>
    <w:rsid w:val="00505FC5"/>
    <w:rsid w:val="00506925"/>
    <w:rsid w:val="00506D46"/>
    <w:rsid w:val="005072AA"/>
    <w:rsid w:val="00507A84"/>
    <w:rsid w:val="00510F85"/>
    <w:rsid w:val="00511414"/>
    <w:rsid w:val="005127B3"/>
    <w:rsid w:val="00514FDE"/>
    <w:rsid w:val="005178F9"/>
    <w:rsid w:val="00517A93"/>
    <w:rsid w:val="00521B96"/>
    <w:rsid w:val="00524436"/>
    <w:rsid w:val="00524583"/>
    <w:rsid w:val="00525038"/>
    <w:rsid w:val="00526775"/>
    <w:rsid w:val="005268B4"/>
    <w:rsid w:val="00527A5D"/>
    <w:rsid w:val="005321D7"/>
    <w:rsid w:val="00533017"/>
    <w:rsid w:val="0053478F"/>
    <w:rsid w:val="00535B78"/>
    <w:rsid w:val="005405DB"/>
    <w:rsid w:val="005411CD"/>
    <w:rsid w:val="00541570"/>
    <w:rsid w:val="005421EA"/>
    <w:rsid w:val="00543432"/>
    <w:rsid w:val="00544309"/>
    <w:rsid w:val="00544C2F"/>
    <w:rsid w:val="0054513A"/>
    <w:rsid w:val="00545143"/>
    <w:rsid w:val="0054590D"/>
    <w:rsid w:val="005471BE"/>
    <w:rsid w:val="005473BA"/>
    <w:rsid w:val="0055112E"/>
    <w:rsid w:val="00552749"/>
    <w:rsid w:val="00555DBA"/>
    <w:rsid w:val="005575EC"/>
    <w:rsid w:val="00557ADB"/>
    <w:rsid w:val="00560E9F"/>
    <w:rsid w:val="00572D68"/>
    <w:rsid w:val="005753E4"/>
    <w:rsid w:val="00575900"/>
    <w:rsid w:val="00576208"/>
    <w:rsid w:val="005762E2"/>
    <w:rsid w:val="00576C13"/>
    <w:rsid w:val="00577A84"/>
    <w:rsid w:val="005839C6"/>
    <w:rsid w:val="00584852"/>
    <w:rsid w:val="0058595C"/>
    <w:rsid w:val="00586704"/>
    <w:rsid w:val="00591962"/>
    <w:rsid w:val="00591BAB"/>
    <w:rsid w:val="00592C3E"/>
    <w:rsid w:val="005939D0"/>
    <w:rsid w:val="005956F9"/>
    <w:rsid w:val="00595E60"/>
    <w:rsid w:val="005978B2"/>
    <w:rsid w:val="00597B34"/>
    <w:rsid w:val="005A13E9"/>
    <w:rsid w:val="005A1412"/>
    <w:rsid w:val="005A1B78"/>
    <w:rsid w:val="005A21D7"/>
    <w:rsid w:val="005A27D1"/>
    <w:rsid w:val="005A2E14"/>
    <w:rsid w:val="005A5572"/>
    <w:rsid w:val="005A571C"/>
    <w:rsid w:val="005B2A91"/>
    <w:rsid w:val="005B42C7"/>
    <w:rsid w:val="005B4545"/>
    <w:rsid w:val="005B5261"/>
    <w:rsid w:val="005B5DEF"/>
    <w:rsid w:val="005B7F74"/>
    <w:rsid w:val="005C1EDD"/>
    <w:rsid w:val="005C2852"/>
    <w:rsid w:val="005C3793"/>
    <w:rsid w:val="005C6C5F"/>
    <w:rsid w:val="005D0450"/>
    <w:rsid w:val="005D0B15"/>
    <w:rsid w:val="005D328E"/>
    <w:rsid w:val="005D357D"/>
    <w:rsid w:val="005D4DD1"/>
    <w:rsid w:val="005D5DF1"/>
    <w:rsid w:val="005D61C6"/>
    <w:rsid w:val="005D6C33"/>
    <w:rsid w:val="005D76B6"/>
    <w:rsid w:val="005E1704"/>
    <w:rsid w:val="005E5E09"/>
    <w:rsid w:val="005E5F26"/>
    <w:rsid w:val="005E7595"/>
    <w:rsid w:val="005F0D8B"/>
    <w:rsid w:val="005F2B87"/>
    <w:rsid w:val="005F4A8B"/>
    <w:rsid w:val="005F6E3F"/>
    <w:rsid w:val="00602F9C"/>
    <w:rsid w:val="00606295"/>
    <w:rsid w:val="00606EE7"/>
    <w:rsid w:val="006075C2"/>
    <w:rsid w:val="00610BB6"/>
    <w:rsid w:val="0061212A"/>
    <w:rsid w:val="00612755"/>
    <w:rsid w:val="00614801"/>
    <w:rsid w:val="00615F4F"/>
    <w:rsid w:val="00624BCA"/>
    <w:rsid w:val="006251B0"/>
    <w:rsid w:val="00631FA3"/>
    <w:rsid w:val="00632F48"/>
    <w:rsid w:val="00632FDE"/>
    <w:rsid w:val="0063314D"/>
    <w:rsid w:val="00633AD5"/>
    <w:rsid w:val="006359EC"/>
    <w:rsid w:val="006372B3"/>
    <w:rsid w:val="00641B6E"/>
    <w:rsid w:val="006426F2"/>
    <w:rsid w:val="00644E2C"/>
    <w:rsid w:val="00646990"/>
    <w:rsid w:val="006476B8"/>
    <w:rsid w:val="006518D2"/>
    <w:rsid w:val="0065414A"/>
    <w:rsid w:val="00660EAA"/>
    <w:rsid w:val="006731D3"/>
    <w:rsid w:val="00673328"/>
    <w:rsid w:val="00675D90"/>
    <w:rsid w:val="00677477"/>
    <w:rsid w:val="006802AB"/>
    <w:rsid w:val="00680A01"/>
    <w:rsid w:val="00681DBD"/>
    <w:rsid w:val="00683533"/>
    <w:rsid w:val="00684EEE"/>
    <w:rsid w:val="00685F60"/>
    <w:rsid w:val="00686BA2"/>
    <w:rsid w:val="006905E0"/>
    <w:rsid w:val="00692089"/>
    <w:rsid w:val="006A09AD"/>
    <w:rsid w:val="006A2F50"/>
    <w:rsid w:val="006A5036"/>
    <w:rsid w:val="006A60FA"/>
    <w:rsid w:val="006A6206"/>
    <w:rsid w:val="006B09E5"/>
    <w:rsid w:val="006B0B48"/>
    <w:rsid w:val="006B17B1"/>
    <w:rsid w:val="006B3811"/>
    <w:rsid w:val="006B5758"/>
    <w:rsid w:val="006B613C"/>
    <w:rsid w:val="006B6696"/>
    <w:rsid w:val="006B72BC"/>
    <w:rsid w:val="006C2357"/>
    <w:rsid w:val="006C3305"/>
    <w:rsid w:val="006C37E2"/>
    <w:rsid w:val="006C7045"/>
    <w:rsid w:val="006D0396"/>
    <w:rsid w:val="006D10C0"/>
    <w:rsid w:val="006D1AD6"/>
    <w:rsid w:val="006D699C"/>
    <w:rsid w:val="006E1090"/>
    <w:rsid w:val="006E1112"/>
    <w:rsid w:val="006E18F2"/>
    <w:rsid w:val="006E5385"/>
    <w:rsid w:val="006E6E37"/>
    <w:rsid w:val="006E74FB"/>
    <w:rsid w:val="006E7E99"/>
    <w:rsid w:val="006F08F3"/>
    <w:rsid w:val="006F2EF9"/>
    <w:rsid w:val="006F421C"/>
    <w:rsid w:val="006F6A8C"/>
    <w:rsid w:val="007032AD"/>
    <w:rsid w:val="007059AE"/>
    <w:rsid w:val="00707CB3"/>
    <w:rsid w:val="00707FC1"/>
    <w:rsid w:val="00710D03"/>
    <w:rsid w:val="0071373C"/>
    <w:rsid w:val="00716C7E"/>
    <w:rsid w:val="00716D9B"/>
    <w:rsid w:val="00721EF6"/>
    <w:rsid w:val="00724B04"/>
    <w:rsid w:val="00725E27"/>
    <w:rsid w:val="00727CC8"/>
    <w:rsid w:val="0073007C"/>
    <w:rsid w:val="0073014A"/>
    <w:rsid w:val="007309F1"/>
    <w:rsid w:val="007310E9"/>
    <w:rsid w:val="00731748"/>
    <w:rsid w:val="0073279E"/>
    <w:rsid w:val="00740B45"/>
    <w:rsid w:val="00741AE4"/>
    <w:rsid w:val="00742C30"/>
    <w:rsid w:val="00745A96"/>
    <w:rsid w:val="00751FDD"/>
    <w:rsid w:val="007531E6"/>
    <w:rsid w:val="00753489"/>
    <w:rsid w:val="0075422C"/>
    <w:rsid w:val="00755026"/>
    <w:rsid w:val="00755371"/>
    <w:rsid w:val="00755CFF"/>
    <w:rsid w:val="00757448"/>
    <w:rsid w:val="007577AF"/>
    <w:rsid w:val="007605A8"/>
    <w:rsid w:val="00760B55"/>
    <w:rsid w:val="00760DE3"/>
    <w:rsid w:val="0076225B"/>
    <w:rsid w:val="0076272D"/>
    <w:rsid w:val="007628AD"/>
    <w:rsid w:val="00763AA3"/>
    <w:rsid w:val="007659FA"/>
    <w:rsid w:val="00765E48"/>
    <w:rsid w:val="00767238"/>
    <w:rsid w:val="00767D33"/>
    <w:rsid w:val="007709F3"/>
    <w:rsid w:val="00772986"/>
    <w:rsid w:val="00774C8C"/>
    <w:rsid w:val="007755AE"/>
    <w:rsid w:val="00775864"/>
    <w:rsid w:val="0077615C"/>
    <w:rsid w:val="00777516"/>
    <w:rsid w:val="00782C5B"/>
    <w:rsid w:val="00783918"/>
    <w:rsid w:val="00784D93"/>
    <w:rsid w:val="00785265"/>
    <w:rsid w:val="00786E9D"/>
    <w:rsid w:val="00787F57"/>
    <w:rsid w:val="0079044B"/>
    <w:rsid w:val="007912C2"/>
    <w:rsid w:val="00791B73"/>
    <w:rsid w:val="00791C47"/>
    <w:rsid w:val="00793409"/>
    <w:rsid w:val="00793A9C"/>
    <w:rsid w:val="00793AA9"/>
    <w:rsid w:val="00793DEF"/>
    <w:rsid w:val="00795FB9"/>
    <w:rsid w:val="00796929"/>
    <w:rsid w:val="007A310C"/>
    <w:rsid w:val="007A36F0"/>
    <w:rsid w:val="007A4464"/>
    <w:rsid w:val="007A59C6"/>
    <w:rsid w:val="007A6746"/>
    <w:rsid w:val="007A715E"/>
    <w:rsid w:val="007A766B"/>
    <w:rsid w:val="007A78E8"/>
    <w:rsid w:val="007A7C5C"/>
    <w:rsid w:val="007A7E00"/>
    <w:rsid w:val="007B4C04"/>
    <w:rsid w:val="007B6F00"/>
    <w:rsid w:val="007C081F"/>
    <w:rsid w:val="007C0D5A"/>
    <w:rsid w:val="007C0FAA"/>
    <w:rsid w:val="007C1D8B"/>
    <w:rsid w:val="007C34AE"/>
    <w:rsid w:val="007C393D"/>
    <w:rsid w:val="007C69E2"/>
    <w:rsid w:val="007D046B"/>
    <w:rsid w:val="007D1614"/>
    <w:rsid w:val="007D22A8"/>
    <w:rsid w:val="007D2E3A"/>
    <w:rsid w:val="007D5420"/>
    <w:rsid w:val="007D5808"/>
    <w:rsid w:val="007E3BAB"/>
    <w:rsid w:val="007E5E4B"/>
    <w:rsid w:val="007E6499"/>
    <w:rsid w:val="007E69B8"/>
    <w:rsid w:val="007E707A"/>
    <w:rsid w:val="007E7FC0"/>
    <w:rsid w:val="007F0D64"/>
    <w:rsid w:val="007F1717"/>
    <w:rsid w:val="007F3501"/>
    <w:rsid w:val="007F5148"/>
    <w:rsid w:val="007F5392"/>
    <w:rsid w:val="007F5EF6"/>
    <w:rsid w:val="007F6EC6"/>
    <w:rsid w:val="007F6ECD"/>
    <w:rsid w:val="007F7E95"/>
    <w:rsid w:val="0080031D"/>
    <w:rsid w:val="008033D7"/>
    <w:rsid w:val="008078BA"/>
    <w:rsid w:val="00807BD5"/>
    <w:rsid w:val="008102B6"/>
    <w:rsid w:val="00811147"/>
    <w:rsid w:val="0081179E"/>
    <w:rsid w:val="00812862"/>
    <w:rsid w:val="0081293B"/>
    <w:rsid w:val="008133BC"/>
    <w:rsid w:val="00815B02"/>
    <w:rsid w:val="00817BC3"/>
    <w:rsid w:val="00820C9E"/>
    <w:rsid w:val="008211B4"/>
    <w:rsid w:val="00830D02"/>
    <w:rsid w:val="008328C8"/>
    <w:rsid w:val="00834E16"/>
    <w:rsid w:val="008356B4"/>
    <w:rsid w:val="00835EB3"/>
    <w:rsid w:val="00836970"/>
    <w:rsid w:val="00840008"/>
    <w:rsid w:val="00842049"/>
    <w:rsid w:val="008428BC"/>
    <w:rsid w:val="008429C8"/>
    <w:rsid w:val="00843433"/>
    <w:rsid w:val="0084586B"/>
    <w:rsid w:val="0084611D"/>
    <w:rsid w:val="00847CC8"/>
    <w:rsid w:val="00851EED"/>
    <w:rsid w:val="00854079"/>
    <w:rsid w:val="00854580"/>
    <w:rsid w:val="00854ED9"/>
    <w:rsid w:val="0085673D"/>
    <w:rsid w:val="00856C5F"/>
    <w:rsid w:val="00856FBD"/>
    <w:rsid w:val="00865B6C"/>
    <w:rsid w:val="00870E34"/>
    <w:rsid w:val="00871D9F"/>
    <w:rsid w:val="008729BD"/>
    <w:rsid w:val="00873DF3"/>
    <w:rsid w:val="00874F77"/>
    <w:rsid w:val="00876AD8"/>
    <w:rsid w:val="008818EF"/>
    <w:rsid w:val="00883396"/>
    <w:rsid w:val="00884FF0"/>
    <w:rsid w:val="008902CF"/>
    <w:rsid w:val="008938AD"/>
    <w:rsid w:val="008943FC"/>
    <w:rsid w:val="00894F58"/>
    <w:rsid w:val="0089669B"/>
    <w:rsid w:val="0089785C"/>
    <w:rsid w:val="008A2A15"/>
    <w:rsid w:val="008A644F"/>
    <w:rsid w:val="008A6D3C"/>
    <w:rsid w:val="008A79AA"/>
    <w:rsid w:val="008A7BC1"/>
    <w:rsid w:val="008A7E9F"/>
    <w:rsid w:val="008B1695"/>
    <w:rsid w:val="008B17D4"/>
    <w:rsid w:val="008B326D"/>
    <w:rsid w:val="008B3CAF"/>
    <w:rsid w:val="008B5CB3"/>
    <w:rsid w:val="008B71CF"/>
    <w:rsid w:val="008C0378"/>
    <w:rsid w:val="008C03C2"/>
    <w:rsid w:val="008C2381"/>
    <w:rsid w:val="008C28B0"/>
    <w:rsid w:val="008C4205"/>
    <w:rsid w:val="008C6177"/>
    <w:rsid w:val="008D00EE"/>
    <w:rsid w:val="008D146A"/>
    <w:rsid w:val="008D1EF7"/>
    <w:rsid w:val="008D300F"/>
    <w:rsid w:val="008D3621"/>
    <w:rsid w:val="008D38B3"/>
    <w:rsid w:val="008D444B"/>
    <w:rsid w:val="008D44B7"/>
    <w:rsid w:val="008D4C8B"/>
    <w:rsid w:val="008D6708"/>
    <w:rsid w:val="008E0622"/>
    <w:rsid w:val="008E18A0"/>
    <w:rsid w:val="008E223E"/>
    <w:rsid w:val="008E24A0"/>
    <w:rsid w:val="008E6123"/>
    <w:rsid w:val="008F18E5"/>
    <w:rsid w:val="008F2093"/>
    <w:rsid w:val="008F2CDB"/>
    <w:rsid w:val="008F47FB"/>
    <w:rsid w:val="008F524D"/>
    <w:rsid w:val="008F6231"/>
    <w:rsid w:val="00900327"/>
    <w:rsid w:val="0090230B"/>
    <w:rsid w:val="00904574"/>
    <w:rsid w:val="00905654"/>
    <w:rsid w:val="00905B66"/>
    <w:rsid w:val="0090693B"/>
    <w:rsid w:val="00906B97"/>
    <w:rsid w:val="00907801"/>
    <w:rsid w:val="00911857"/>
    <w:rsid w:val="00914840"/>
    <w:rsid w:val="00915569"/>
    <w:rsid w:val="0091715D"/>
    <w:rsid w:val="00917C8F"/>
    <w:rsid w:val="00922758"/>
    <w:rsid w:val="009237AD"/>
    <w:rsid w:val="009255D0"/>
    <w:rsid w:val="009258BF"/>
    <w:rsid w:val="00925D24"/>
    <w:rsid w:val="00930EB7"/>
    <w:rsid w:val="009338A1"/>
    <w:rsid w:val="00935EF1"/>
    <w:rsid w:val="00937576"/>
    <w:rsid w:val="00940553"/>
    <w:rsid w:val="00940EDA"/>
    <w:rsid w:val="009421B6"/>
    <w:rsid w:val="00942842"/>
    <w:rsid w:val="009444BA"/>
    <w:rsid w:val="00945E25"/>
    <w:rsid w:val="00947626"/>
    <w:rsid w:val="009511AE"/>
    <w:rsid w:val="00951EDC"/>
    <w:rsid w:val="0095222C"/>
    <w:rsid w:val="009546BA"/>
    <w:rsid w:val="00954F67"/>
    <w:rsid w:val="009579B1"/>
    <w:rsid w:val="0096236D"/>
    <w:rsid w:val="00965DE5"/>
    <w:rsid w:val="00966583"/>
    <w:rsid w:val="009674DF"/>
    <w:rsid w:val="009713FB"/>
    <w:rsid w:val="00972B08"/>
    <w:rsid w:val="009731D1"/>
    <w:rsid w:val="00973C4B"/>
    <w:rsid w:val="00973DA4"/>
    <w:rsid w:val="00977246"/>
    <w:rsid w:val="00977BEA"/>
    <w:rsid w:val="00987883"/>
    <w:rsid w:val="009930D6"/>
    <w:rsid w:val="009945FC"/>
    <w:rsid w:val="00994D56"/>
    <w:rsid w:val="00994FD4"/>
    <w:rsid w:val="009956B4"/>
    <w:rsid w:val="0099579C"/>
    <w:rsid w:val="009A1A9D"/>
    <w:rsid w:val="009A1AE8"/>
    <w:rsid w:val="009A36E9"/>
    <w:rsid w:val="009A7C43"/>
    <w:rsid w:val="009A7D09"/>
    <w:rsid w:val="009A7FE3"/>
    <w:rsid w:val="009B056D"/>
    <w:rsid w:val="009B1DAC"/>
    <w:rsid w:val="009B1E9B"/>
    <w:rsid w:val="009B2189"/>
    <w:rsid w:val="009B38B1"/>
    <w:rsid w:val="009B4213"/>
    <w:rsid w:val="009B6C6C"/>
    <w:rsid w:val="009B6CBD"/>
    <w:rsid w:val="009B6E35"/>
    <w:rsid w:val="009B7362"/>
    <w:rsid w:val="009B79F8"/>
    <w:rsid w:val="009B7C9E"/>
    <w:rsid w:val="009C0874"/>
    <w:rsid w:val="009C1335"/>
    <w:rsid w:val="009C237D"/>
    <w:rsid w:val="009C5D74"/>
    <w:rsid w:val="009C6EF0"/>
    <w:rsid w:val="009D0B59"/>
    <w:rsid w:val="009D4F04"/>
    <w:rsid w:val="009D5C19"/>
    <w:rsid w:val="009D7A4F"/>
    <w:rsid w:val="009E0A26"/>
    <w:rsid w:val="009E106B"/>
    <w:rsid w:val="009E1753"/>
    <w:rsid w:val="009E1E89"/>
    <w:rsid w:val="009E2A88"/>
    <w:rsid w:val="009E3509"/>
    <w:rsid w:val="009E3C15"/>
    <w:rsid w:val="009E456E"/>
    <w:rsid w:val="009E56CD"/>
    <w:rsid w:val="009E5BC5"/>
    <w:rsid w:val="009E63CF"/>
    <w:rsid w:val="009E6807"/>
    <w:rsid w:val="009E7DB4"/>
    <w:rsid w:val="009F2625"/>
    <w:rsid w:val="009F500E"/>
    <w:rsid w:val="009F59CB"/>
    <w:rsid w:val="009F72E6"/>
    <w:rsid w:val="00A0273C"/>
    <w:rsid w:val="00A03647"/>
    <w:rsid w:val="00A037D9"/>
    <w:rsid w:val="00A03903"/>
    <w:rsid w:val="00A05D3F"/>
    <w:rsid w:val="00A061FE"/>
    <w:rsid w:val="00A06723"/>
    <w:rsid w:val="00A067F6"/>
    <w:rsid w:val="00A076E0"/>
    <w:rsid w:val="00A07AE4"/>
    <w:rsid w:val="00A10B81"/>
    <w:rsid w:val="00A13850"/>
    <w:rsid w:val="00A158D7"/>
    <w:rsid w:val="00A16676"/>
    <w:rsid w:val="00A20094"/>
    <w:rsid w:val="00A2148A"/>
    <w:rsid w:val="00A21CEE"/>
    <w:rsid w:val="00A2762B"/>
    <w:rsid w:val="00A305B8"/>
    <w:rsid w:val="00A306B3"/>
    <w:rsid w:val="00A31772"/>
    <w:rsid w:val="00A32E1E"/>
    <w:rsid w:val="00A33D84"/>
    <w:rsid w:val="00A35592"/>
    <w:rsid w:val="00A35972"/>
    <w:rsid w:val="00A37CCE"/>
    <w:rsid w:val="00A431BA"/>
    <w:rsid w:val="00A45658"/>
    <w:rsid w:val="00A46310"/>
    <w:rsid w:val="00A46BDF"/>
    <w:rsid w:val="00A515FD"/>
    <w:rsid w:val="00A52976"/>
    <w:rsid w:val="00A52BB1"/>
    <w:rsid w:val="00A52EF0"/>
    <w:rsid w:val="00A5333C"/>
    <w:rsid w:val="00A535A5"/>
    <w:rsid w:val="00A54EE1"/>
    <w:rsid w:val="00A56419"/>
    <w:rsid w:val="00A574F9"/>
    <w:rsid w:val="00A61C33"/>
    <w:rsid w:val="00A6219C"/>
    <w:rsid w:val="00A625E0"/>
    <w:rsid w:val="00A63436"/>
    <w:rsid w:val="00A634DC"/>
    <w:rsid w:val="00A63BF5"/>
    <w:rsid w:val="00A65440"/>
    <w:rsid w:val="00A679DD"/>
    <w:rsid w:val="00A70B74"/>
    <w:rsid w:val="00A7137A"/>
    <w:rsid w:val="00A73229"/>
    <w:rsid w:val="00A73C52"/>
    <w:rsid w:val="00A74347"/>
    <w:rsid w:val="00A74503"/>
    <w:rsid w:val="00A7751B"/>
    <w:rsid w:val="00A80000"/>
    <w:rsid w:val="00A858EC"/>
    <w:rsid w:val="00A877A8"/>
    <w:rsid w:val="00A87CDA"/>
    <w:rsid w:val="00A90016"/>
    <w:rsid w:val="00A90DB9"/>
    <w:rsid w:val="00A90ED8"/>
    <w:rsid w:val="00A95394"/>
    <w:rsid w:val="00A9638D"/>
    <w:rsid w:val="00AA058F"/>
    <w:rsid w:val="00AA2D6A"/>
    <w:rsid w:val="00AA5682"/>
    <w:rsid w:val="00AA6DA8"/>
    <w:rsid w:val="00AA7FC6"/>
    <w:rsid w:val="00AB082C"/>
    <w:rsid w:val="00AB0AE9"/>
    <w:rsid w:val="00AB1940"/>
    <w:rsid w:val="00AB3292"/>
    <w:rsid w:val="00AB3731"/>
    <w:rsid w:val="00AB495A"/>
    <w:rsid w:val="00AB4D50"/>
    <w:rsid w:val="00AB66B4"/>
    <w:rsid w:val="00AB69F4"/>
    <w:rsid w:val="00AB71B0"/>
    <w:rsid w:val="00AC0155"/>
    <w:rsid w:val="00AC0ADE"/>
    <w:rsid w:val="00AC1400"/>
    <w:rsid w:val="00AC1BEF"/>
    <w:rsid w:val="00AC23CF"/>
    <w:rsid w:val="00AC2991"/>
    <w:rsid w:val="00AC3495"/>
    <w:rsid w:val="00AC370C"/>
    <w:rsid w:val="00AC46C5"/>
    <w:rsid w:val="00AC66DE"/>
    <w:rsid w:val="00AC6FF1"/>
    <w:rsid w:val="00AD1B18"/>
    <w:rsid w:val="00AD1BC1"/>
    <w:rsid w:val="00AD2C9D"/>
    <w:rsid w:val="00AD41DC"/>
    <w:rsid w:val="00AD5F78"/>
    <w:rsid w:val="00AD7DB8"/>
    <w:rsid w:val="00AE0AAE"/>
    <w:rsid w:val="00AE1159"/>
    <w:rsid w:val="00AE34C3"/>
    <w:rsid w:val="00AE44EF"/>
    <w:rsid w:val="00AF0A95"/>
    <w:rsid w:val="00AF49FC"/>
    <w:rsid w:val="00AF61BB"/>
    <w:rsid w:val="00AF7E34"/>
    <w:rsid w:val="00B02F5F"/>
    <w:rsid w:val="00B030D8"/>
    <w:rsid w:val="00B03934"/>
    <w:rsid w:val="00B0723A"/>
    <w:rsid w:val="00B13034"/>
    <w:rsid w:val="00B13B22"/>
    <w:rsid w:val="00B149CC"/>
    <w:rsid w:val="00B14D80"/>
    <w:rsid w:val="00B14F7F"/>
    <w:rsid w:val="00B159E6"/>
    <w:rsid w:val="00B16ADB"/>
    <w:rsid w:val="00B17F3C"/>
    <w:rsid w:val="00B20FB0"/>
    <w:rsid w:val="00B21A84"/>
    <w:rsid w:val="00B24864"/>
    <w:rsid w:val="00B262CD"/>
    <w:rsid w:val="00B306C1"/>
    <w:rsid w:val="00B3456D"/>
    <w:rsid w:val="00B36900"/>
    <w:rsid w:val="00B417C9"/>
    <w:rsid w:val="00B43AF5"/>
    <w:rsid w:val="00B4604F"/>
    <w:rsid w:val="00B469C5"/>
    <w:rsid w:val="00B477B8"/>
    <w:rsid w:val="00B5175C"/>
    <w:rsid w:val="00B52EDE"/>
    <w:rsid w:val="00B536C6"/>
    <w:rsid w:val="00B57816"/>
    <w:rsid w:val="00B60BD9"/>
    <w:rsid w:val="00B6103D"/>
    <w:rsid w:val="00B635F5"/>
    <w:rsid w:val="00B70796"/>
    <w:rsid w:val="00B71FB9"/>
    <w:rsid w:val="00B73DC2"/>
    <w:rsid w:val="00B7684F"/>
    <w:rsid w:val="00B806A1"/>
    <w:rsid w:val="00B8072C"/>
    <w:rsid w:val="00B81C57"/>
    <w:rsid w:val="00B85E11"/>
    <w:rsid w:val="00B863D9"/>
    <w:rsid w:val="00B922D5"/>
    <w:rsid w:val="00B951E0"/>
    <w:rsid w:val="00B95756"/>
    <w:rsid w:val="00B95F68"/>
    <w:rsid w:val="00BA0D56"/>
    <w:rsid w:val="00BA1676"/>
    <w:rsid w:val="00BA1BCC"/>
    <w:rsid w:val="00BA221A"/>
    <w:rsid w:val="00BA5382"/>
    <w:rsid w:val="00BA5A06"/>
    <w:rsid w:val="00BA6394"/>
    <w:rsid w:val="00BA6A4C"/>
    <w:rsid w:val="00BA6AE6"/>
    <w:rsid w:val="00BA6CF7"/>
    <w:rsid w:val="00BA7010"/>
    <w:rsid w:val="00BB0827"/>
    <w:rsid w:val="00BB0E6F"/>
    <w:rsid w:val="00BB211B"/>
    <w:rsid w:val="00BB3B9B"/>
    <w:rsid w:val="00BB4CA6"/>
    <w:rsid w:val="00BB50C3"/>
    <w:rsid w:val="00BB5BF9"/>
    <w:rsid w:val="00BB6405"/>
    <w:rsid w:val="00BB660D"/>
    <w:rsid w:val="00BB66AD"/>
    <w:rsid w:val="00BB67AB"/>
    <w:rsid w:val="00BB7AE8"/>
    <w:rsid w:val="00BC0957"/>
    <w:rsid w:val="00BC5EDB"/>
    <w:rsid w:val="00BC6FEB"/>
    <w:rsid w:val="00BD3441"/>
    <w:rsid w:val="00BD3986"/>
    <w:rsid w:val="00BD3A25"/>
    <w:rsid w:val="00BD4433"/>
    <w:rsid w:val="00BD56D5"/>
    <w:rsid w:val="00BD5B48"/>
    <w:rsid w:val="00BD60F6"/>
    <w:rsid w:val="00BD74DA"/>
    <w:rsid w:val="00BE13C6"/>
    <w:rsid w:val="00BE4BB1"/>
    <w:rsid w:val="00BE5892"/>
    <w:rsid w:val="00BE7B40"/>
    <w:rsid w:val="00BF5E84"/>
    <w:rsid w:val="00BF66EA"/>
    <w:rsid w:val="00BF7EA4"/>
    <w:rsid w:val="00BF7F3F"/>
    <w:rsid w:val="00C002C8"/>
    <w:rsid w:val="00C03A29"/>
    <w:rsid w:val="00C03AE7"/>
    <w:rsid w:val="00C040F5"/>
    <w:rsid w:val="00C046A2"/>
    <w:rsid w:val="00C0593D"/>
    <w:rsid w:val="00C0734E"/>
    <w:rsid w:val="00C10233"/>
    <w:rsid w:val="00C13F88"/>
    <w:rsid w:val="00C157B4"/>
    <w:rsid w:val="00C15A1D"/>
    <w:rsid w:val="00C174A7"/>
    <w:rsid w:val="00C17CC7"/>
    <w:rsid w:val="00C17E12"/>
    <w:rsid w:val="00C20990"/>
    <w:rsid w:val="00C20EE0"/>
    <w:rsid w:val="00C224D9"/>
    <w:rsid w:val="00C23831"/>
    <w:rsid w:val="00C24B26"/>
    <w:rsid w:val="00C26634"/>
    <w:rsid w:val="00C26EBD"/>
    <w:rsid w:val="00C32847"/>
    <w:rsid w:val="00C33DD5"/>
    <w:rsid w:val="00C3405C"/>
    <w:rsid w:val="00C348B9"/>
    <w:rsid w:val="00C351F6"/>
    <w:rsid w:val="00C355F3"/>
    <w:rsid w:val="00C371E9"/>
    <w:rsid w:val="00C375D7"/>
    <w:rsid w:val="00C37A72"/>
    <w:rsid w:val="00C37C30"/>
    <w:rsid w:val="00C37E95"/>
    <w:rsid w:val="00C41415"/>
    <w:rsid w:val="00C42895"/>
    <w:rsid w:val="00C43020"/>
    <w:rsid w:val="00C5016F"/>
    <w:rsid w:val="00C513A0"/>
    <w:rsid w:val="00C52C65"/>
    <w:rsid w:val="00C52E5E"/>
    <w:rsid w:val="00C540DB"/>
    <w:rsid w:val="00C54B4A"/>
    <w:rsid w:val="00C54C3F"/>
    <w:rsid w:val="00C556D8"/>
    <w:rsid w:val="00C57370"/>
    <w:rsid w:val="00C62BF7"/>
    <w:rsid w:val="00C655EA"/>
    <w:rsid w:val="00C6777E"/>
    <w:rsid w:val="00C70239"/>
    <w:rsid w:val="00C814D3"/>
    <w:rsid w:val="00C81606"/>
    <w:rsid w:val="00C819BD"/>
    <w:rsid w:val="00C8213E"/>
    <w:rsid w:val="00C82EF3"/>
    <w:rsid w:val="00C85277"/>
    <w:rsid w:val="00C87125"/>
    <w:rsid w:val="00C87FDA"/>
    <w:rsid w:val="00C9157C"/>
    <w:rsid w:val="00C93949"/>
    <w:rsid w:val="00C94788"/>
    <w:rsid w:val="00C95521"/>
    <w:rsid w:val="00CA571F"/>
    <w:rsid w:val="00CA5871"/>
    <w:rsid w:val="00CA5DCF"/>
    <w:rsid w:val="00CA66D4"/>
    <w:rsid w:val="00CA7EF9"/>
    <w:rsid w:val="00CB2B8B"/>
    <w:rsid w:val="00CB34B7"/>
    <w:rsid w:val="00CB5373"/>
    <w:rsid w:val="00CB632D"/>
    <w:rsid w:val="00CB68A6"/>
    <w:rsid w:val="00CC0A2A"/>
    <w:rsid w:val="00CC11DF"/>
    <w:rsid w:val="00CC4B94"/>
    <w:rsid w:val="00CC6558"/>
    <w:rsid w:val="00CC65BB"/>
    <w:rsid w:val="00CC7DC7"/>
    <w:rsid w:val="00CD1A70"/>
    <w:rsid w:val="00CD41F0"/>
    <w:rsid w:val="00CD4AFB"/>
    <w:rsid w:val="00CD506C"/>
    <w:rsid w:val="00CE0AD2"/>
    <w:rsid w:val="00CE2AB8"/>
    <w:rsid w:val="00CE4918"/>
    <w:rsid w:val="00CE5D68"/>
    <w:rsid w:val="00CE7E7F"/>
    <w:rsid w:val="00CF2127"/>
    <w:rsid w:val="00CF3761"/>
    <w:rsid w:val="00CF4383"/>
    <w:rsid w:val="00CF59F3"/>
    <w:rsid w:val="00CF6118"/>
    <w:rsid w:val="00CF631A"/>
    <w:rsid w:val="00D0297B"/>
    <w:rsid w:val="00D0311E"/>
    <w:rsid w:val="00D03FEA"/>
    <w:rsid w:val="00D0482F"/>
    <w:rsid w:val="00D04E46"/>
    <w:rsid w:val="00D050D5"/>
    <w:rsid w:val="00D107BA"/>
    <w:rsid w:val="00D1288C"/>
    <w:rsid w:val="00D133C2"/>
    <w:rsid w:val="00D13A80"/>
    <w:rsid w:val="00D14181"/>
    <w:rsid w:val="00D14C36"/>
    <w:rsid w:val="00D21B73"/>
    <w:rsid w:val="00D247ED"/>
    <w:rsid w:val="00D255DA"/>
    <w:rsid w:val="00D261B7"/>
    <w:rsid w:val="00D26B06"/>
    <w:rsid w:val="00D302E4"/>
    <w:rsid w:val="00D308F0"/>
    <w:rsid w:val="00D32AA3"/>
    <w:rsid w:val="00D33692"/>
    <w:rsid w:val="00D354BB"/>
    <w:rsid w:val="00D3611E"/>
    <w:rsid w:val="00D3648D"/>
    <w:rsid w:val="00D36CDB"/>
    <w:rsid w:val="00D436F8"/>
    <w:rsid w:val="00D446DF"/>
    <w:rsid w:val="00D46F94"/>
    <w:rsid w:val="00D47512"/>
    <w:rsid w:val="00D47566"/>
    <w:rsid w:val="00D4788C"/>
    <w:rsid w:val="00D50601"/>
    <w:rsid w:val="00D517BA"/>
    <w:rsid w:val="00D5388E"/>
    <w:rsid w:val="00D57811"/>
    <w:rsid w:val="00D61907"/>
    <w:rsid w:val="00D628F8"/>
    <w:rsid w:val="00D63D70"/>
    <w:rsid w:val="00D643C9"/>
    <w:rsid w:val="00D72EF5"/>
    <w:rsid w:val="00D7363D"/>
    <w:rsid w:val="00D74880"/>
    <w:rsid w:val="00D773A3"/>
    <w:rsid w:val="00D77CB8"/>
    <w:rsid w:val="00D8156C"/>
    <w:rsid w:val="00D828AF"/>
    <w:rsid w:val="00D83472"/>
    <w:rsid w:val="00D87070"/>
    <w:rsid w:val="00D874AF"/>
    <w:rsid w:val="00D87D2B"/>
    <w:rsid w:val="00D92E65"/>
    <w:rsid w:val="00D931E5"/>
    <w:rsid w:val="00D94773"/>
    <w:rsid w:val="00D94B66"/>
    <w:rsid w:val="00D94B97"/>
    <w:rsid w:val="00D960BA"/>
    <w:rsid w:val="00D96DD5"/>
    <w:rsid w:val="00DA1256"/>
    <w:rsid w:val="00DA12CA"/>
    <w:rsid w:val="00DA147B"/>
    <w:rsid w:val="00DA14AC"/>
    <w:rsid w:val="00DA4121"/>
    <w:rsid w:val="00DA57FA"/>
    <w:rsid w:val="00DB0A97"/>
    <w:rsid w:val="00DB19E7"/>
    <w:rsid w:val="00DB1E42"/>
    <w:rsid w:val="00DB2A77"/>
    <w:rsid w:val="00DB44A4"/>
    <w:rsid w:val="00DB45F0"/>
    <w:rsid w:val="00DB48CC"/>
    <w:rsid w:val="00DB5206"/>
    <w:rsid w:val="00DB5875"/>
    <w:rsid w:val="00DD07B8"/>
    <w:rsid w:val="00DD16C0"/>
    <w:rsid w:val="00DD1C6D"/>
    <w:rsid w:val="00DD2BC5"/>
    <w:rsid w:val="00DD392F"/>
    <w:rsid w:val="00DD4825"/>
    <w:rsid w:val="00DE028D"/>
    <w:rsid w:val="00DE1B93"/>
    <w:rsid w:val="00DE3204"/>
    <w:rsid w:val="00DE3892"/>
    <w:rsid w:val="00DE3E9B"/>
    <w:rsid w:val="00DE422C"/>
    <w:rsid w:val="00DE5408"/>
    <w:rsid w:val="00DE7D10"/>
    <w:rsid w:val="00DF088D"/>
    <w:rsid w:val="00DF0BFF"/>
    <w:rsid w:val="00DF184F"/>
    <w:rsid w:val="00DF376B"/>
    <w:rsid w:val="00DF4168"/>
    <w:rsid w:val="00DF444F"/>
    <w:rsid w:val="00DF4FB3"/>
    <w:rsid w:val="00DF59E2"/>
    <w:rsid w:val="00DF6697"/>
    <w:rsid w:val="00E0428F"/>
    <w:rsid w:val="00E05E9A"/>
    <w:rsid w:val="00E061E4"/>
    <w:rsid w:val="00E06AB5"/>
    <w:rsid w:val="00E10ADF"/>
    <w:rsid w:val="00E11FA6"/>
    <w:rsid w:val="00E123DB"/>
    <w:rsid w:val="00E14050"/>
    <w:rsid w:val="00E142F2"/>
    <w:rsid w:val="00E14C7B"/>
    <w:rsid w:val="00E14DC3"/>
    <w:rsid w:val="00E20E60"/>
    <w:rsid w:val="00E22BFB"/>
    <w:rsid w:val="00E24778"/>
    <w:rsid w:val="00E27024"/>
    <w:rsid w:val="00E3103F"/>
    <w:rsid w:val="00E31292"/>
    <w:rsid w:val="00E31DF4"/>
    <w:rsid w:val="00E33974"/>
    <w:rsid w:val="00E42402"/>
    <w:rsid w:val="00E42D2B"/>
    <w:rsid w:val="00E441A2"/>
    <w:rsid w:val="00E44C16"/>
    <w:rsid w:val="00E46580"/>
    <w:rsid w:val="00E505C9"/>
    <w:rsid w:val="00E50A4A"/>
    <w:rsid w:val="00E5254C"/>
    <w:rsid w:val="00E5292F"/>
    <w:rsid w:val="00E53095"/>
    <w:rsid w:val="00E53915"/>
    <w:rsid w:val="00E56864"/>
    <w:rsid w:val="00E62FF8"/>
    <w:rsid w:val="00E6584C"/>
    <w:rsid w:val="00E65C5E"/>
    <w:rsid w:val="00E6729E"/>
    <w:rsid w:val="00E677CE"/>
    <w:rsid w:val="00E71703"/>
    <w:rsid w:val="00E72CF0"/>
    <w:rsid w:val="00E73BFA"/>
    <w:rsid w:val="00E75B03"/>
    <w:rsid w:val="00E77630"/>
    <w:rsid w:val="00E77D42"/>
    <w:rsid w:val="00E80BF1"/>
    <w:rsid w:val="00E817C9"/>
    <w:rsid w:val="00E81E48"/>
    <w:rsid w:val="00E8395E"/>
    <w:rsid w:val="00E84CB2"/>
    <w:rsid w:val="00E85E88"/>
    <w:rsid w:val="00E866B8"/>
    <w:rsid w:val="00E87C6C"/>
    <w:rsid w:val="00E92B0C"/>
    <w:rsid w:val="00E94F7A"/>
    <w:rsid w:val="00EA063C"/>
    <w:rsid w:val="00EA081D"/>
    <w:rsid w:val="00EA0BCA"/>
    <w:rsid w:val="00EA1099"/>
    <w:rsid w:val="00EA2053"/>
    <w:rsid w:val="00EA485E"/>
    <w:rsid w:val="00EB1AD3"/>
    <w:rsid w:val="00EB50C0"/>
    <w:rsid w:val="00EB63E3"/>
    <w:rsid w:val="00EC24B9"/>
    <w:rsid w:val="00EC2ED7"/>
    <w:rsid w:val="00EC34F4"/>
    <w:rsid w:val="00EC520B"/>
    <w:rsid w:val="00EC7310"/>
    <w:rsid w:val="00EC7F00"/>
    <w:rsid w:val="00ED06F3"/>
    <w:rsid w:val="00ED0AD1"/>
    <w:rsid w:val="00ED2CB5"/>
    <w:rsid w:val="00ED631C"/>
    <w:rsid w:val="00ED6ECE"/>
    <w:rsid w:val="00ED7E84"/>
    <w:rsid w:val="00EE08A1"/>
    <w:rsid w:val="00EE27DE"/>
    <w:rsid w:val="00EE3ACF"/>
    <w:rsid w:val="00EE3F11"/>
    <w:rsid w:val="00EE3FB4"/>
    <w:rsid w:val="00EE446F"/>
    <w:rsid w:val="00EE45D6"/>
    <w:rsid w:val="00EE53D9"/>
    <w:rsid w:val="00EF0507"/>
    <w:rsid w:val="00EF1845"/>
    <w:rsid w:val="00EF2C00"/>
    <w:rsid w:val="00EF5773"/>
    <w:rsid w:val="00EF777F"/>
    <w:rsid w:val="00F05D09"/>
    <w:rsid w:val="00F06D58"/>
    <w:rsid w:val="00F1026C"/>
    <w:rsid w:val="00F12539"/>
    <w:rsid w:val="00F13064"/>
    <w:rsid w:val="00F13F86"/>
    <w:rsid w:val="00F14151"/>
    <w:rsid w:val="00F171D2"/>
    <w:rsid w:val="00F17BB3"/>
    <w:rsid w:val="00F17E93"/>
    <w:rsid w:val="00F22325"/>
    <w:rsid w:val="00F23AE3"/>
    <w:rsid w:val="00F24248"/>
    <w:rsid w:val="00F30335"/>
    <w:rsid w:val="00F30337"/>
    <w:rsid w:val="00F31171"/>
    <w:rsid w:val="00F32431"/>
    <w:rsid w:val="00F33ADC"/>
    <w:rsid w:val="00F34CAA"/>
    <w:rsid w:val="00F40DD5"/>
    <w:rsid w:val="00F42036"/>
    <w:rsid w:val="00F42795"/>
    <w:rsid w:val="00F427A9"/>
    <w:rsid w:val="00F43784"/>
    <w:rsid w:val="00F45AAB"/>
    <w:rsid w:val="00F51705"/>
    <w:rsid w:val="00F521B3"/>
    <w:rsid w:val="00F52EF1"/>
    <w:rsid w:val="00F572A6"/>
    <w:rsid w:val="00F579F7"/>
    <w:rsid w:val="00F602F0"/>
    <w:rsid w:val="00F60AB5"/>
    <w:rsid w:val="00F65F20"/>
    <w:rsid w:val="00F6645C"/>
    <w:rsid w:val="00F70316"/>
    <w:rsid w:val="00F70C23"/>
    <w:rsid w:val="00F7208F"/>
    <w:rsid w:val="00F73035"/>
    <w:rsid w:val="00F731B2"/>
    <w:rsid w:val="00F731BF"/>
    <w:rsid w:val="00F73AC7"/>
    <w:rsid w:val="00F743D4"/>
    <w:rsid w:val="00F7778E"/>
    <w:rsid w:val="00F80BFF"/>
    <w:rsid w:val="00F81021"/>
    <w:rsid w:val="00F811B3"/>
    <w:rsid w:val="00F830FB"/>
    <w:rsid w:val="00F847AA"/>
    <w:rsid w:val="00F9032D"/>
    <w:rsid w:val="00F90712"/>
    <w:rsid w:val="00F92168"/>
    <w:rsid w:val="00F94747"/>
    <w:rsid w:val="00F95011"/>
    <w:rsid w:val="00F97AD1"/>
    <w:rsid w:val="00FA10F7"/>
    <w:rsid w:val="00FA17C7"/>
    <w:rsid w:val="00FA1B3F"/>
    <w:rsid w:val="00FA263F"/>
    <w:rsid w:val="00FA4B2A"/>
    <w:rsid w:val="00FA5F0F"/>
    <w:rsid w:val="00FB1DFD"/>
    <w:rsid w:val="00FB2B88"/>
    <w:rsid w:val="00FB3C24"/>
    <w:rsid w:val="00FB4D92"/>
    <w:rsid w:val="00FB5186"/>
    <w:rsid w:val="00FB5E74"/>
    <w:rsid w:val="00FB7E90"/>
    <w:rsid w:val="00FC0E46"/>
    <w:rsid w:val="00FC1584"/>
    <w:rsid w:val="00FC18E8"/>
    <w:rsid w:val="00FC2D28"/>
    <w:rsid w:val="00FC50DA"/>
    <w:rsid w:val="00FC5A25"/>
    <w:rsid w:val="00FC5D00"/>
    <w:rsid w:val="00FC6A31"/>
    <w:rsid w:val="00FC7817"/>
    <w:rsid w:val="00FD13EA"/>
    <w:rsid w:val="00FD1E5D"/>
    <w:rsid w:val="00FD50F3"/>
    <w:rsid w:val="00FD7B0D"/>
    <w:rsid w:val="00FE0F77"/>
    <w:rsid w:val="00FE327A"/>
    <w:rsid w:val="00FE36E1"/>
    <w:rsid w:val="00FE46E4"/>
    <w:rsid w:val="00FE4B1D"/>
    <w:rsid w:val="00FE4D39"/>
    <w:rsid w:val="00FE4F46"/>
    <w:rsid w:val="00FE6F41"/>
    <w:rsid w:val="00FE7CDB"/>
    <w:rsid w:val="00FE7D59"/>
    <w:rsid w:val="00FF00A6"/>
    <w:rsid w:val="00FF00FB"/>
    <w:rsid w:val="00FF08AC"/>
    <w:rsid w:val="00FF0AB3"/>
    <w:rsid w:val="00FF30BF"/>
    <w:rsid w:val="00FF53B7"/>
    <w:rsid w:val="00FF5658"/>
    <w:rsid w:val="00FF5716"/>
    <w:rsid w:val="00FF64A4"/>
    <w:rsid w:val="097BEE80"/>
    <w:rsid w:val="168907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02F11"/>
  <w15:chartTrackingRefBased/>
  <w15:docId w15:val="{32F4F004-AB08-4E35-97A3-A56BB6EE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F77"/>
    <w:pPr>
      <w:spacing w:after="0" w:line="259" w:lineRule="auto"/>
      <w:ind w:firstLine="72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CB34B7"/>
    <w:pPr>
      <w:spacing w:line="240" w:lineRule="auto"/>
    </w:pPr>
    <w:rPr>
      <w:noProof/>
    </w:rPr>
  </w:style>
  <w:style w:type="character" w:customStyle="1" w:styleId="EndNoteBibliographyChar">
    <w:name w:val="EndNote Bibliography Char"/>
    <w:basedOn w:val="DefaultParagraphFont"/>
    <w:link w:val="EndNoteBibliography"/>
    <w:rsid w:val="00CB34B7"/>
    <w:rPr>
      <w:noProof/>
    </w:rPr>
  </w:style>
  <w:style w:type="paragraph" w:customStyle="1" w:styleId="EndNoteBibliographyTitle">
    <w:name w:val="EndNote Bibliography Title"/>
    <w:basedOn w:val="Normal"/>
    <w:link w:val="EndNoteBibliographyTitleChar"/>
    <w:rsid w:val="00CB34B7"/>
    <w:pPr>
      <w:jc w:val="center"/>
    </w:pPr>
    <w:rPr>
      <w:noProof/>
    </w:rPr>
  </w:style>
  <w:style w:type="character" w:customStyle="1" w:styleId="EndNoteBibliographyTitleChar">
    <w:name w:val="EndNote Bibliography Title Char"/>
    <w:basedOn w:val="DefaultParagraphFont"/>
    <w:link w:val="EndNoteBibliographyTitle"/>
    <w:rsid w:val="00CB34B7"/>
    <w:rPr>
      <w:noProof/>
    </w:rPr>
  </w:style>
  <w:style w:type="paragraph" w:styleId="ListParagraph">
    <w:name w:val="List Paragraph"/>
    <w:basedOn w:val="Normal"/>
    <w:uiPriority w:val="34"/>
    <w:qFormat/>
    <w:rsid w:val="002561D5"/>
    <w:pPr>
      <w:ind w:left="720"/>
    </w:pPr>
  </w:style>
  <w:style w:type="paragraph" w:styleId="BalloonText">
    <w:name w:val="Balloon Text"/>
    <w:basedOn w:val="Normal"/>
    <w:link w:val="BalloonTextChar"/>
    <w:uiPriority w:val="99"/>
    <w:semiHidden/>
    <w:unhideWhenUsed/>
    <w:rsid w:val="002212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268"/>
    <w:rPr>
      <w:rFonts w:ascii="Segoe UI" w:hAnsi="Segoe UI" w:cs="Segoe UI"/>
      <w:sz w:val="18"/>
      <w:szCs w:val="18"/>
    </w:rPr>
  </w:style>
  <w:style w:type="paragraph" w:styleId="Header">
    <w:name w:val="header"/>
    <w:basedOn w:val="Normal"/>
    <w:link w:val="HeaderChar"/>
    <w:uiPriority w:val="99"/>
    <w:unhideWhenUsed/>
    <w:rsid w:val="00AA2D6A"/>
    <w:pPr>
      <w:tabs>
        <w:tab w:val="center" w:pos="4680"/>
        <w:tab w:val="right" w:pos="9360"/>
      </w:tabs>
    </w:pPr>
  </w:style>
  <w:style w:type="character" w:customStyle="1" w:styleId="HeaderChar">
    <w:name w:val="Header Char"/>
    <w:basedOn w:val="DefaultParagraphFont"/>
    <w:link w:val="Header"/>
    <w:uiPriority w:val="99"/>
    <w:rsid w:val="00AA2D6A"/>
  </w:style>
  <w:style w:type="paragraph" w:styleId="Footer">
    <w:name w:val="footer"/>
    <w:basedOn w:val="Normal"/>
    <w:link w:val="FooterChar"/>
    <w:uiPriority w:val="99"/>
    <w:unhideWhenUsed/>
    <w:rsid w:val="00AA2D6A"/>
    <w:pPr>
      <w:tabs>
        <w:tab w:val="center" w:pos="4680"/>
        <w:tab w:val="right" w:pos="9360"/>
      </w:tabs>
    </w:pPr>
  </w:style>
  <w:style w:type="character" w:customStyle="1" w:styleId="FooterChar">
    <w:name w:val="Footer Char"/>
    <w:basedOn w:val="DefaultParagraphFont"/>
    <w:link w:val="Footer"/>
    <w:uiPriority w:val="99"/>
    <w:rsid w:val="00AA2D6A"/>
  </w:style>
  <w:style w:type="character" w:styleId="Hyperlink">
    <w:name w:val="Hyperlink"/>
    <w:basedOn w:val="DefaultParagraphFont"/>
    <w:uiPriority w:val="99"/>
    <w:unhideWhenUsed/>
    <w:rsid w:val="00D0482F"/>
    <w:rPr>
      <w:color w:val="0563C1" w:themeColor="hyperlink"/>
      <w:u w:val="single"/>
    </w:rPr>
  </w:style>
  <w:style w:type="character" w:styleId="UnresolvedMention">
    <w:name w:val="Unresolved Mention"/>
    <w:basedOn w:val="DefaultParagraphFont"/>
    <w:uiPriority w:val="99"/>
    <w:semiHidden/>
    <w:unhideWhenUsed/>
    <w:rsid w:val="00D0482F"/>
    <w:rPr>
      <w:color w:val="605E5C"/>
      <w:shd w:val="clear" w:color="auto" w:fill="E1DFDD"/>
    </w:rPr>
  </w:style>
  <w:style w:type="character" w:styleId="FollowedHyperlink">
    <w:name w:val="FollowedHyperlink"/>
    <w:basedOn w:val="DefaultParagraphFont"/>
    <w:uiPriority w:val="99"/>
    <w:semiHidden/>
    <w:unhideWhenUsed/>
    <w:rsid w:val="00D0482F"/>
    <w:rPr>
      <w:color w:val="954F72" w:themeColor="followedHyperlink"/>
      <w:u w:val="single"/>
    </w:rPr>
  </w:style>
  <w:style w:type="character" w:styleId="CommentReference">
    <w:name w:val="annotation reference"/>
    <w:basedOn w:val="DefaultParagraphFont"/>
    <w:uiPriority w:val="99"/>
    <w:semiHidden/>
    <w:unhideWhenUsed/>
    <w:rsid w:val="00847CC8"/>
    <w:rPr>
      <w:sz w:val="16"/>
      <w:szCs w:val="16"/>
    </w:rPr>
  </w:style>
  <w:style w:type="paragraph" w:styleId="CommentText">
    <w:name w:val="annotation text"/>
    <w:basedOn w:val="Normal"/>
    <w:link w:val="CommentTextChar"/>
    <w:uiPriority w:val="99"/>
    <w:unhideWhenUsed/>
    <w:rsid w:val="00847CC8"/>
    <w:pPr>
      <w:spacing w:line="240" w:lineRule="auto"/>
    </w:pPr>
    <w:rPr>
      <w:sz w:val="20"/>
      <w:szCs w:val="20"/>
    </w:rPr>
  </w:style>
  <w:style w:type="character" w:customStyle="1" w:styleId="CommentTextChar">
    <w:name w:val="Comment Text Char"/>
    <w:basedOn w:val="DefaultParagraphFont"/>
    <w:link w:val="CommentText"/>
    <w:uiPriority w:val="99"/>
    <w:rsid w:val="00847CC8"/>
    <w:rPr>
      <w:sz w:val="20"/>
      <w:szCs w:val="20"/>
    </w:rPr>
  </w:style>
  <w:style w:type="paragraph" w:styleId="CommentSubject">
    <w:name w:val="annotation subject"/>
    <w:basedOn w:val="CommentText"/>
    <w:next w:val="CommentText"/>
    <w:link w:val="CommentSubjectChar"/>
    <w:uiPriority w:val="99"/>
    <w:semiHidden/>
    <w:unhideWhenUsed/>
    <w:rsid w:val="00847CC8"/>
    <w:rPr>
      <w:b/>
      <w:bCs/>
    </w:rPr>
  </w:style>
  <w:style w:type="character" w:customStyle="1" w:styleId="CommentSubjectChar">
    <w:name w:val="Comment Subject Char"/>
    <w:basedOn w:val="CommentTextChar"/>
    <w:link w:val="CommentSubject"/>
    <w:uiPriority w:val="99"/>
    <w:semiHidden/>
    <w:rsid w:val="00847CC8"/>
    <w:rPr>
      <w:b/>
      <w:bCs/>
      <w:sz w:val="20"/>
      <w:szCs w:val="20"/>
    </w:rPr>
  </w:style>
  <w:style w:type="paragraph" w:styleId="Revision">
    <w:name w:val="Revision"/>
    <w:hidden/>
    <w:uiPriority w:val="99"/>
    <w:semiHidden/>
    <w:rsid w:val="00527A5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131755">
      <w:bodyDiv w:val="1"/>
      <w:marLeft w:val="0"/>
      <w:marRight w:val="0"/>
      <w:marTop w:val="0"/>
      <w:marBottom w:val="0"/>
      <w:divBdr>
        <w:top w:val="none" w:sz="0" w:space="0" w:color="auto"/>
        <w:left w:val="none" w:sz="0" w:space="0" w:color="auto"/>
        <w:bottom w:val="none" w:sz="0" w:space="0" w:color="auto"/>
        <w:right w:val="none" w:sz="0" w:space="0" w:color="auto"/>
      </w:divBdr>
    </w:div>
    <w:div w:id="4537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0197-2456(95)00048-8" TargetMode="External"/><Relationship Id="rId18" Type="http://schemas.openxmlformats.org/officeDocument/2006/relationships/hyperlink" Target="https://doi.org/10.1093/geront/gnr02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i.org/10.1016/j.cpcardiol.2018.11.002" TargetMode="External"/><Relationship Id="rId17" Type="http://schemas.openxmlformats.org/officeDocument/2006/relationships/hyperlink" Target="https://www.fda.gov/media/143592/download" TargetMode="External"/><Relationship Id="rId2" Type="http://schemas.openxmlformats.org/officeDocument/2006/relationships/customXml" Target="../customXml/item2.xml"/><Relationship Id="rId16" Type="http://schemas.openxmlformats.org/officeDocument/2006/relationships/hyperlink" Target="https://doi.org/10.1200/EDBK_100021" TargetMode="External"/><Relationship Id="rId20" Type="http://schemas.openxmlformats.org/officeDocument/2006/relationships/hyperlink" Target="https://doi.org/10.1016/j.cct.2014.08.0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conctc.2016.06.009" TargetMode="External"/><Relationship Id="rId5" Type="http://schemas.openxmlformats.org/officeDocument/2006/relationships/numbering" Target="numbering.xml"/><Relationship Id="rId15" Type="http://schemas.openxmlformats.org/officeDocument/2006/relationships/hyperlink" Target="https://doi.org/10.1080/10810730.2016.125635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07/s10900-016-027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4278/ajhp.130514-QUAL-24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F68A38B9E268499E6BDC0643D2CAA4" ma:contentTypeVersion="14" ma:contentTypeDescription="Create a new document." ma:contentTypeScope="" ma:versionID="ef93f75e8da44e23c987bb88331b96a9">
  <xsd:schema xmlns:xsd="http://www.w3.org/2001/XMLSchema" xmlns:xs="http://www.w3.org/2001/XMLSchema" xmlns:p="http://schemas.microsoft.com/office/2006/metadata/properties" xmlns:ns3="0628153b-3e77-4843-8ec3-9f8bfa17dbbe" xmlns:ns4="fff2122d-dd98-4ca2-b8ad-42f3eea521eb" targetNamespace="http://schemas.microsoft.com/office/2006/metadata/properties" ma:root="true" ma:fieldsID="7c70d8e849284a5d3ee4616d3212b87d" ns3:_="" ns4:_="">
    <xsd:import namespace="0628153b-3e77-4843-8ec3-9f8bfa17dbbe"/>
    <xsd:import namespace="fff2122d-dd98-4ca2-b8ad-42f3eea521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8153b-3e77-4843-8ec3-9f8bfa17d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f2122d-dd98-4ca2-b8ad-42f3eea521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C638F-DE6E-4F9E-8742-6D8AFE9C18A3}">
  <ds:schemaRefs>
    <ds:schemaRef ds:uri="http://schemas.openxmlformats.org/officeDocument/2006/bibliography"/>
  </ds:schemaRefs>
</ds:datastoreItem>
</file>

<file path=customXml/itemProps2.xml><?xml version="1.0" encoding="utf-8"?>
<ds:datastoreItem xmlns:ds="http://schemas.openxmlformats.org/officeDocument/2006/customXml" ds:itemID="{7CF0AB30-5028-4980-BCB3-E9ACA95B8F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CF10EB-3F2C-49AA-B09F-8C93F26C12E3}">
  <ds:schemaRefs>
    <ds:schemaRef ds:uri="http://schemas.microsoft.com/sharepoint/v3/contenttype/forms"/>
  </ds:schemaRefs>
</ds:datastoreItem>
</file>

<file path=customXml/itemProps4.xml><?xml version="1.0" encoding="utf-8"?>
<ds:datastoreItem xmlns:ds="http://schemas.openxmlformats.org/officeDocument/2006/customXml" ds:itemID="{05A7440B-44DF-404A-AAF6-67FB008FF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8153b-3e77-4843-8ec3-9f8bfa17dbbe"/>
    <ds:schemaRef ds:uri="fff2122d-dd98-4ca2-b8ad-42f3eea5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3046</Words>
  <Characters>17367</Characters>
  <Application>Microsoft Office Word</Application>
  <DocSecurity>0</DocSecurity>
  <Lines>144</Lines>
  <Paragraphs>40</Paragraphs>
  <ScaleCrop>false</ScaleCrop>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Ridley-Merriweather, Katherine Ellen</dc:creator>
  <cp:keywords/>
  <dc:description/>
  <cp:lastModifiedBy>Ridley-Merriweather, Katherine Ellen</cp:lastModifiedBy>
  <cp:revision>2</cp:revision>
  <cp:lastPrinted>2021-09-01T16:32:00Z</cp:lastPrinted>
  <dcterms:created xsi:type="dcterms:W3CDTF">2021-09-21T14:29:00Z</dcterms:created>
  <dcterms:modified xsi:type="dcterms:W3CDTF">2021-09-21T14:29:00Z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0x010100CBF68A38B9E268499E6BDC0643D2CAA4</vt:lpwstr>
  </property>
</Properties>
</file>